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40" w:line="240" w:lineRule="auto"/>
      </w:pPr>
      <w:r>
        <w:rPr>
          <w:rFonts w:ascii="Arial" w:hAnsi="Arial" w:eastAsia="Arial"/>
          <w:b/>
          <w:i w:val="0"/>
          <w:color w:val="192B4D"/>
          <w:sz w:val="38"/>
        </w:rPr>
        <w:t>Checklist de lansare pentru campanii Search</w:t>
      </w:r>
    </w:p>
    <w:p>
      <w:pPr>
        <w:spacing w:before="0" w:after="140" w:line="240" w:lineRule="auto"/>
      </w:pPr>
      <w:r>
        <w:rPr>
          <w:rFonts w:ascii="Arial" w:hAnsi="Arial" w:eastAsia="Arial"/>
          <w:b w:val="0"/>
          <w:i w:val="0"/>
          <w:color w:val="667085"/>
          <w:sz w:val="19"/>
        </w:rPr>
        <w:t>Instrument practic pentru validarea setărilor înainte de activarea unei campanii Google Ads Search. Creat de Pascal Răzvan.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96"/>
      </w:tblGrid>
      <w:tr>
        <w:tc>
          <w:tcPr>
            <w:tcW w:type="dxa" w:w="10596"/>
            <w:shd w:fill="FFF7E6"/>
            <w:tcBorders>
              <w:top w:val="single" w:sz="8" w:color="C7993B"/>
              <w:left w:val="single" w:sz="8" w:color="C7993B"/>
              <w:bottom w:val="single" w:sz="8" w:color="C7993B"/>
              <w:right w:val="single" w:sz="8" w:color="C7993B"/>
            </w:tcBorders>
            <w:tcMar>
              <w:top w:w="130" w:type="dxa"/>
              <w:start w:w="160" w:type="dxa"/>
              <w:bottom w:w="130" w:type="dxa"/>
              <w:end w:w="16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8"/>
              </w:rPr>
              <w:t xml:space="preserve">Cum îl folosești: </w:t>
            </w:r>
            <w:r>
              <w:rPr>
                <w:rFonts w:ascii="Arial" w:hAnsi="Arial" w:eastAsia="Arial"/>
                <w:b w:val="0"/>
                <w:i w:val="0"/>
                <w:color w:val="253858"/>
                <w:sz w:val="18"/>
              </w:rPr>
              <w:t>Parcurge secțiunile în ordine, bifează doar elementele verificate în cont și notează excepțiile în fișierul Excel asociat. Nu activa o campanie până când măsurarea, oferta, bugetul și URL-urile finale nu sunt validate.</w:t>
            </w:r>
          </w:p>
        </w:tc>
      </w:tr>
    </w:tbl>
    <w:p>
      <w:pPr>
        <w:spacing w:after="0"/>
      </w:pPr>
    </w:p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Date de completat înainte de folosire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633"/>
      </w:tblGrid>
      <w:tr>
        <w:trPr>
          <w:tblHeader w:val="true"/>
        </w:trPr>
        <w:tc>
          <w:tcPr>
            <w:tcW w:type="dxa" w:w="2891"/>
            <w:shd w:fill="192B4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Câmp</w:t>
            </w:r>
          </w:p>
        </w:tc>
        <w:tc>
          <w:tcPr>
            <w:tcW w:type="dxa" w:w="6633"/>
            <w:shd w:fill="192B4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Completează înainte de lansare</w:t>
            </w:r>
          </w:p>
        </w:tc>
      </w:tr>
      <w:tr>
        <w:tc>
          <w:tcPr>
            <w:tcW w:type="dxa" w:w="2891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7"/>
              </w:rPr>
              <w:t>Client / proiect</w:t>
            </w:r>
          </w:p>
        </w:tc>
        <w:tc>
          <w:tcPr>
            <w:tcW w:type="dxa" w:w="6633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667085"/>
                <w:sz w:val="17"/>
              </w:rPr>
              <w:t>Numele companiei, site-ul și persoana de contact responsabilă.</w:t>
            </w:r>
          </w:p>
        </w:tc>
      </w:tr>
      <w:tr>
        <w:tc>
          <w:tcPr>
            <w:tcW w:type="dxa" w:w="2891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7"/>
              </w:rPr>
              <w:t>Obiectiv principal</w:t>
            </w:r>
          </w:p>
        </w:tc>
        <w:tc>
          <w:tcPr>
            <w:tcW w:type="dxa" w:w="6633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667085"/>
                <w:sz w:val="17"/>
              </w:rPr>
              <w:t>De exemplu: achiziții, lead-uri calificate, apeluri sau cereri de ofertă.</w:t>
            </w:r>
          </w:p>
        </w:tc>
      </w:tr>
      <w:tr>
        <w:tc>
          <w:tcPr>
            <w:tcW w:type="dxa" w:w="2891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7"/>
              </w:rPr>
              <w:t>Conversie principală</w:t>
            </w:r>
          </w:p>
        </w:tc>
        <w:tc>
          <w:tcPr>
            <w:tcW w:type="dxa" w:w="6633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667085"/>
                <w:sz w:val="17"/>
              </w:rPr>
              <w:t>Evenimentul pe care campania îl optimizează și modul în care este verificat.</w:t>
            </w:r>
          </w:p>
        </w:tc>
      </w:tr>
      <w:tr>
        <w:tc>
          <w:tcPr>
            <w:tcW w:type="dxa" w:w="2891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7"/>
              </w:rPr>
              <w:t>Buget și perioadă</w:t>
            </w:r>
          </w:p>
        </w:tc>
        <w:tc>
          <w:tcPr>
            <w:tcW w:type="dxa" w:w="6633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667085"/>
                <w:sz w:val="17"/>
              </w:rPr>
              <w:t>Buget zilnic, buget total, dată de start, dată de final și prag de aprobare.</w:t>
            </w:r>
          </w:p>
        </w:tc>
      </w:tr>
      <w:tr>
        <w:tc>
          <w:tcPr>
            <w:tcW w:type="dxa" w:w="2891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7"/>
              </w:rPr>
              <w:t>Responsabil și aprobator</w:t>
            </w:r>
          </w:p>
        </w:tc>
        <w:tc>
          <w:tcPr>
            <w:tcW w:type="dxa" w:w="6633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667085"/>
                <w:sz w:val="17"/>
              </w:rPr>
              <w:t>Persoana care implementează, persoana care verifică și decidentul final.</w:t>
            </w:r>
          </w:p>
        </w:tc>
      </w:tr>
    </w:tbl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Criteriu de decizie înainte de lansare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96"/>
      </w:tblGrid>
      <w:tr>
        <w:tc>
          <w:tcPr>
            <w:tcW w:type="dxa" w:w="10596"/>
            <w:shd w:fill="FFF7E6"/>
            <w:tcBorders>
              <w:top w:val="single" w:sz="8" w:color="C7993B"/>
              <w:left w:val="single" w:sz="8" w:color="C7993B"/>
              <w:bottom w:val="single" w:sz="8" w:color="C7993B"/>
              <w:right w:val="single" w:sz="8" w:color="C7993B"/>
            </w:tcBorders>
            <w:tcMar>
              <w:top w:w="130" w:type="dxa"/>
              <w:start w:w="160" w:type="dxa"/>
              <w:bottom w:w="130" w:type="dxa"/>
              <w:end w:w="16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8"/>
              </w:rPr>
              <w:t xml:space="preserve">Regulă simplă: </w:t>
            </w:r>
            <w:r>
              <w:rPr>
                <w:rFonts w:ascii="Arial" w:hAnsi="Arial" w:eastAsia="Arial"/>
                <w:b w:val="0"/>
                <w:i w:val="0"/>
                <w:color w:val="253858"/>
                <w:sz w:val="18"/>
              </w:rPr>
              <w:t>Dacă un element critic nu este finalizat, marchează-l ca blocant în Excel. Un „nu se aplică” trebuie documentat, nu lăsat necompletat.</w:t>
            </w:r>
          </w:p>
        </w:tc>
      </w:tr>
    </w:tbl>
    <w:p>
      <w:pPr>
        <w:spacing w:after="0"/>
      </w:pPr>
    </w:p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1. Obiective, ofertă și plan de lucru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4620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Verificare</w:t>
            </w:r>
          </w:p>
        </w:tc>
        <w:tc>
          <w:tcPr>
            <w:tcW w:type="dxa" w:w="433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Ce confirmi înainte de lansare</w:t>
            </w:r>
          </w:p>
        </w:tc>
        <w:tc>
          <w:tcPr>
            <w:tcW w:type="dxa" w:w="56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Bifat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stabilit obiectivul principal al campaniei?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Alege un obiectiv măsurabil: vânzări, lead-uri calificate, apeluri sau trafic relevant.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definit indicatorii-cheie de performanță?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Notează ținta de volum și eficiență: conversii, valoare conversii, CPA, ROAS sau alt KPI relevant.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Oferta și mesajul sunt clare înainte de configurare?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Confirmă produsul/serviciul promovat, diferențiatorii verificabili, condițiile ofertei și acțiunea dorită.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un plan de verificare și optimizare pentru primele 30-90 de zile?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Stabilește cine verifică termenii de căutare, performanța pe locații, bugetul, licitarea și activele.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</w:tbl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2. Măsurare și obiective de conversie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4620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Verificare</w:t>
            </w:r>
          </w:p>
        </w:tc>
        <w:tc>
          <w:tcPr>
            <w:tcW w:type="dxa" w:w="433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Ce confirmi înainte de lansare</w:t>
            </w:r>
          </w:p>
        </w:tc>
        <w:tc>
          <w:tcPr>
            <w:tcW w:type="dxa" w:w="56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Bifat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Acțiunile de conversie relevante sunt active și testate?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Testează formularul, apelurile, achizițiile, cererile de ofertă și orice pas considerat valoros pentru business.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separat conversiile principale de cele secundare?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Folosește pentru optimizare doar acțiunile care indică un rezultat de business relevant; păstrează micro-conversiile pentru analiză, când este cazul.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Valorile conversiilor sunt corecte și utile pentru decizii?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Pentru e-commerce, verifică moneda, valoarea tranzacției și evitarea dublării. Pentru lead-uri, documentează metoda de evaluare.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Sunt configurate obiectivele de conversie la nivel de cont sau campanie?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Verifică dacă această campanie optimizează către rezultatele potrivite și nu preia obiective nerelevante din cont.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Parametrii de urmărire sunt consecvenți?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Confirmă UTM-urile, șablonul de urmărire și sufixul URL final, fără parametri vechi sau conflictuali.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verificat acordul de consimțământ și măsurarea în GA4/CRM?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Asigură-te că implementarea respectă configurarea de consimțământ și că sursa campaniei poate fi urmărită până la rezultat.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</w:tbl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3. Structură și pagini de destinație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4620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Verificare</w:t>
            </w:r>
          </w:p>
        </w:tc>
        <w:tc>
          <w:tcPr>
            <w:tcW w:type="dxa" w:w="433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Ce confirmi înainte de lansare</w:t>
            </w:r>
          </w:p>
        </w:tc>
        <w:tc>
          <w:tcPr>
            <w:tcW w:type="dxa" w:w="56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Bifat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Structura campaniei este suficient de simplă pentru a acumula date?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Evită segmentarea fără un motiv clar de business, buget, raportare, strategie de licitare sau pagină de destinație.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Fiecare grup de anunțuri are o temă de căutare clară?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Leagă aceeași intenție de căutare de cuvinte-cheie, anunțuri și pagină de destinație relevante.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Pagina de destinație corespunde exact intenției și promisiunii din anunț?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Verifică relevanța mesajului, oferta, formularul/CTA-ul, informațiile de contact și elementele de încredere.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Pagina de destinație funcționează corect pe mobil și desktop?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Testează încărcarea, formularele, butoanele, telefonul click-to-call, redirecționările și pagina de confirmare.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URL-urile finale sunt corecte la nivel de anunț și, unde e cazul, la nivel de cuvânt-cheie?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Elimină URL-urile expirate, paginile indisponibile și redirecționările inutile.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</w:tbl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4. Buget și licitare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4620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Verificare</w:t>
            </w:r>
          </w:p>
        </w:tc>
        <w:tc>
          <w:tcPr>
            <w:tcW w:type="dxa" w:w="433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Ce confirmi înainte de lansare</w:t>
            </w:r>
          </w:p>
        </w:tc>
        <w:tc>
          <w:tcPr>
            <w:tcW w:type="dxa" w:w="56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Bifat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Bugetul zilnic este aliniat cu bugetul total și perioada campaniei?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Verifică ritmul de cheltuire estimat și asigură spațiu pentru învățare și testare.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Strategia de licitare este compatibilă cu obiectivul și datele disponibile?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Alege licitarea în funcție de obiectivul de business și de calitatea/volumul conversiilor existente.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evitat o țintă CPA sau ROAS restrictivă la lansare fără date suficiente?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Documentează pragul la care vei evalua introducerea sau ajustarea țintelor de eficiență.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Există alerte pentru buget, cheltuire neobișnuită și praguri de conversie?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Setează reguli sau alerte de monitorizare, fără a automatiza schimbări majore înainte de validarea datelor.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</w:tbl>
    <w:p>
      <w:r>
        <w:br w:type="page"/>
      </w:r>
    </w:p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5. Setări de campanie și targetare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4620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Verificare</w:t>
            </w:r>
          </w:p>
        </w:tc>
        <w:tc>
          <w:tcPr>
            <w:tcW w:type="dxa" w:w="433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Ce confirmi înainte de lansare</w:t>
            </w:r>
          </w:p>
        </w:tc>
        <w:tc>
          <w:tcPr>
            <w:tcW w:type="dxa" w:w="56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Bifat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selectat obiectivul, tipul de campanie și rețeaua corecte?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Confirmă că este o campanie Search și că setările nu activează inventar neintenționat.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Locațiile vizate corespund ariei reale de livrare?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Verifică țările, județele, orașele, razele și excluderile; nu targeta zone în care oferta nu poate fi livrată.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Opțiunea de localizare reflectă modul în care poți servi utilizatorii?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Alege setarea de prezență sau interes în funcție de aria fizică, livrare și intenția comercială; documentează decizia.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Limba anunțurilor este compatibilă cu pagina de destinație și publicul?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Setează limbile care corespund conținutului și utilizatorilor vizați, fără extinderi inutile.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Programul de difuzare și fusul orar sunt corecte?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Dacă există limitări operaționale, aliniază programul cu orele în care echipa poate răspunde sau livra.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</w:tbl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6. Cuvinte-cheie și termeni negativi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4620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Verificare</w:t>
            </w:r>
          </w:p>
        </w:tc>
        <w:tc>
          <w:tcPr>
            <w:tcW w:type="dxa" w:w="433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Ce confirmi înainte de lansare</w:t>
            </w:r>
          </w:p>
        </w:tc>
        <w:tc>
          <w:tcPr>
            <w:tcW w:type="dxa" w:w="56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Bifat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Cuvintele-cheie acoperă intențiile comerciale prioritare?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Include termenii relevanți pentru produs/serviciu, problemă, categorie și localitate, unde este cazul.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Tipurile de potrivire sunt alese intenționat?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Folosește Broad Match, Phrase Match și Exact Match în funcție de buget, controlul dorit și strategia de licitare.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Cuvintele-cheie Broad Match sunt susținute de măsurare și licitare bazată pe conversii?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Nu utiliza potrivirea amplă ca setare izolată; verifică semnalele de conversie și capacitatea de monitorizare.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evitat duplicarea și competiția internă inutilă între cuvinte-cheie?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Elimină suprapunerile evidente și păstrează o logică simplă de grupare.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creat sau conectat lista de cuvinte-cheie negative?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Adaugă termeni nerelevanți, termeni de informare fără valoare comercială și categorii neeligibile.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separat termenii de brand de campaniile generice, când strategia o cere?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Păstrează controlul asupra bugetului, raportării și mesajelor de brand versus non-brand.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planificat revizuirea regulată a raportului cu termenii de căutare?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Stabilește frecvența de verificare și regula de adăugare a negativelor după lansare.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</w:tbl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7. Anunțuri Search responsive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4620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Verificare</w:t>
            </w:r>
          </w:p>
        </w:tc>
        <w:tc>
          <w:tcPr>
            <w:tcW w:type="dxa" w:w="433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Ce confirmi înainte de lansare</w:t>
            </w:r>
          </w:p>
        </w:tc>
        <w:tc>
          <w:tcPr>
            <w:tcW w:type="dxa" w:w="56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Bifat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creat anunțuri Responsive Search Ads relevante pentru fiecare temă?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Fiecare anunț trebuie să se potrivească temei grupului, cuvintelor-cheie și paginii de destinație.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Headline-urile sunt distincte și au un rol clar?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Combină beneficii, diferențiatori, dovezi, specificații, localizare și apeluri la acțiune, fără repetiții.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Descrierile explică oferta și următorul pas?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Folosește formulări clare, verificabile și compatibile cu pagina de destinație.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Mesajele evită afirmațiile neverificabile, superlativele goale și informațiile expirate?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Validează reducerile, prețurile, garanțiile, disponibilitatea și orice cifră utilizată.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verificat gramatica, diacriticele, brandingul și politicile Google Ads?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Revizuiește fiecare asset înainte de publicare, inclusiv URL-urile afișate și elementele dinamice.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folosit fixarea (pinning) numai când este necesară?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Păstrează flexibilitatea combinațiilor RSA, cu excepția elementelor obligatorii din punct de vedere legal sau de brand.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</w:tbl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8. Dynamic Search Ads și rețele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4620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Verificare</w:t>
            </w:r>
          </w:p>
        </w:tc>
        <w:tc>
          <w:tcPr>
            <w:tcW w:type="dxa" w:w="433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Ce confirmi înainte de lansare</w:t>
            </w:r>
          </w:p>
        </w:tc>
        <w:tc>
          <w:tcPr>
            <w:tcW w:type="dxa" w:w="56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Bifat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Dacă folosești Dynamic Search Ads, domeniul și limba sunt corecte?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Verifică domeniul, limba paginilor și potrivirea dintre descrieri, categorii/pagini și obiective.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Dacă folosești Page Feeds, URL-urile și etichetele sunt curate?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Păstrează numai pagini eligibile, funcționale și relevante; exclude paginile de suport, politici sau pagini expirate.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adăugat excluderi dinamice când acoperirea poate include pagini nerelevante?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Examinează cu atenție paginile care pot intra în targetare și blochează zonele fără intenție comercială.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luat o decizie documentată pentru Search Partners?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Search Partners poate fi activ în mod implicit. Evaluează compatibilitatea cu obiectivele, datele și toleranța la variația calității traficului.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</w:tbl>
    <w:p>
      <w:r>
        <w:br w:type="page"/>
      </w:r>
    </w:p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9. Asset-uri pentru anunțuri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4620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Verificare</w:t>
            </w:r>
          </w:p>
        </w:tc>
        <w:tc>
          <w:tcPr>
            <w:tcW w:type="dxa" w:w="433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Ce confirmi înainte de lansare</w:t>
            </w:r>
          </w:p>
        </w:tc>
        <w:tc>
          <w:tcPr>
            <w:tcW w:type="dxa" w:w="56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Bifat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asociat asset-uri relevante la nivel de campanie?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Verifică sitelink-uri, callout-uri, structured snippets, imagine, nume de business și logo, dacă sunt eligibile pentru cont.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Sitelink-urile conduc către pagini utile și diferite?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Folosește linkuri cu intenție clară: ofertă, categorii, prețuri, contact, livrare sau alte informații care ajută decizia.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Callout-urile și structured snippets sunt concrete și verificabile?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Evită repetițiile și formulele vagi; folosește beneficii, opțiuni, categorii sau servicii reale.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Asset-urile de apel, locație, preț sau promoție sunt actuale?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Verifică numărul de telefon, programul, locațiile, prețurile, valabilitatea și restricțiile ofertei.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verificat asset-urile la nivel de grup de anunțuri, doar unde cresc relevanța?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Folosește extensii specifice când tema grupului justifică diferențierea față de campanie.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</w:tbl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10. Audiențe, excluderi și control intern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4620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Verificare</w:t>
            </w:r>
          </w:p>
        </w:tc>
        <w:tc>
          <w:tcPr>
            <w:tcW w:type="dxa" w:w="433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Ce confirmi înainte de lansare</w:t>
            </w:r>
          </w:p>
        </w:tc>
        <w:tc>
          <w:tcPr>
            <w:tcW w:type="dxa" w:w="56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Bifat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adăugat audiențe relevante pentru observare, dacă informația va fi utilă?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Folosește observația pentru înțelegere și raportare, fără a limita inutil acoperirea campaniei Search.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exclus adresele IP interne sau traficul evident irelevant?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Păstrează lista de excluderi actualizată și documentează motivul fiecărei excluderi.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verificat restricțiile de brand și listele de brand, dacă le folosești?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Asigură-te că restricțiile nu reduc acoperirea mai mult decât este intenționat.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stabilit proprietarul campaniei și ruta de aprobare?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Notează responsabilul, aprobatorul și locul în care sunt păstrate deciziile, accesul și materialele sursă.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</w:tbl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11. Control final înainte de activare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4620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Verificare</w:t>
            </w:r>
          </w:p>
        </w:tc>
        <w:tc>
          <w:tcPr>
            <w:tcW w:type="dxa" w:w="433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Ce confirmi înainte de lansare</w:t>
            </w:r>
          </w:p>
        </w:tc>
        <w:tc>
          <w:tcPr>
            <w:tcW w:type="dxa" w:w="56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Bifat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Numele campaniei respectă convenția internă?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Include, după nevoie, canalul, piața, obiectivul, tipul de trafic, oferta și perioada.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Data de început și, dacă există, data de final sunt corecte?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Evită activarea accidentală înainte de aprobarea ofertei, a bugetului sau a măsurării.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Setările de facturare și accesul la cont sunt funcționale?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Confirmă că metoda de plată, permisiunile și alertele importante nu vor bloca difuzarea.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Previzualizarea anunțurilor și URL-urile au fost verificate manual?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Verifică fiecare destinație, dispozitiv și element critic din perspectiva utilizatorului.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verificat statusurile de aprobare după publicare?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Monitorizează aprobarea anunțurilor, asset-urilor și eventualele restricții de politică.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documentat excepțiile și deciziile asumate?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Dacă un element rămâne incomplet, notează riscul, responsabilul și termenul de remediere.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Ai obținut aprobarea finală pentru lansare?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Nu activa înainte ca obiectivul, bugetul, oferta, măsurarea și creativul să fie aprobate.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</w:tbl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12. Primele 7 zile după lansare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rPr>
          <w:tblHeader w:val="true"/>
        </w:trPr>
        <w:tc>
          <w:tcPr>
            <w:tcW w:type="dxa" w:w="4620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Verificare</w:t>
            </w:r>
          </w:p>
        </w:tc>
        <w:tc>
          <w:tcPr>
            <w:tcW w:type="dxa" w:w="433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Ce confirmi înainte de lansare</w:t>
            </w:r>
          </w:p>
        </w:tc>
        <w:tc>
          <w:tcPr>
            <w:tcW w:type="dxa" w:w="567"/>
            <w:shd w:fill="192B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Bifat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Verifici zilnic livrarea, cheltuirea și conversiile în primele zile?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Identifică rapid campanii fără trafic, cheltuire accelerată, erori de urmărire sau conversii neplauzibile.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Analizezi termenii de căutare și adaugi negative pe bază de relevanță?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Nu reacționa la un singur click; combină relevanța cu datele de cost și conversie.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Verifici performanța pe locații, dispozitive, intervale și rețele?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Caută variații relevante înainte de a face ajustări sau excluderi.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  <w:tr>
        <w:tc>
          <w:tcPr>
            <w:tcW w:type="dxa" w:w="4620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i w:val="0"/>
                <w:color w:val="253858"/>
                <w:sz w:val="16"/>
              </w:rPr>
              <w:t>Păstrezi un jurnal al modificărilor și al ipotezelor?</w:t>
            </w:r>
          </w:p>
        </w:tc>
        <w:tc>
          <w:tcPr>
            <w:tcW w:type="dxa" w:w="433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6"/>
              </w:rPr>
              <w:t>Notează data, schimbarea, motivul și efectul urmărit pentru a evita decizii greu de explicat ulterior.</w:t>
            </w:r>
          </w:p>
        </w:tc>
        <w:tc>
          <w:tcPr>
            <w:tcW w:type="dxa" w:w="567"/>
            <w:tcBorders>
              <w:top w:val="single" w:sz="4" w:color="D8DEE8"/>
              <w:left w:val="single" w:sz="4" w:color="D8DEE8"/>
              <w:bottom w:val="single" w:sz="4" w:color="D8DEE8"/>
              <w:right w:val="single" w:sz="4" w:color="D8DEE8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92B4D"/>
                <w:sz w:val="24"/>
              </w:rPr>
              <w:t>☐</w:t>
            </w:r>
          </w:p>
        </w:tc>
      </w:tr>
    </w:tbl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Notă de utilizare și actualizare</w:t>
      </w:r>
    </w:p>
    <w:p>
      <w:pPr>
        <w:spacing w:before="0" w:after="60" w:line="264" w:lineRule="auto"/>
      </w:pPr>
      <w:r>
        <w:rPr>
          <w:rFonts w:ascii="Arial" w:hAnsi="Arial" w:eastAsia="Arial"/>
          <w:b w:val="0"/>
          <w:i w:val="0"/>
          <w:color w:val="253858"/>
          <w:sz w:val="17"/>
        </w:rPr>
        <w:t>Această resursă este un cadru de control, nu o garanție de performanță. Configurațiile potrivite depind de obiectiv, ofertă, datele disponibile, politici și restricțiile operaționale ale fiecărui cont.</w:t>
      </w:r>
    </w:p>
    <w:p>
      <w:pPr>
        <w:spacing w:before="0" w:after="60" w:line="264" w:lineRule="auto"/>
      </w:pPr>
      <w:r>
        <w:rPr>
          <w:rFonts w:ascii="Arial" w:hAnsi="Arial" w:eastAsia="Arial"/>
          <w:b w:val="0"/>
          <w:i w:val="0"/>
          <w:color w:val="253858"/>
          <w:sz w:val="17"/>
        </w:rPr>
        <w:t>Termenii din interfața Google Ads, precum Search campaign, Responsive Search Ads, Broad Match sau Search Partners, sunt păstrați în engleză atunci când ajută la identificarea rapidă a setărilor în platformă.</w:t>
      </w:r>
    </w:p>
    <w:p>
      <w:pPr>
        <w:spacing w:before="160" w:after="60" w:line="240" w:lineRule="auto"/>
      </w:pPr>
      <w:r>
        <w:rPr>
          <w:rFonts w:ascii="Arial" w:hAnsi="Arial" w:eastAsia="Arial"/>
          <w:b/>
          <w:i w:val="0"/>
          <w:color w:val="192B4D"/>
          <w:sz w:val="22"/>
        </w:rPr>
        <w:t>Resurse oficiale pentru verificare</w:t>
      </w:r>
    </w:p>
    <w:p>
      <w:pPr>
        <w:spacing w:before="0" w:after="20" w:line="240" w:lineRule="auto"/>
      </w:pPr>
      <w:r>
        <w:rPr>
          <w:rFonts w:ascii="Arial" w:hAnsi="Arial" w:eastAsia="Arial"/>
          <w:b/>
          <w:i w:val="0"/>
          <w:color w:val="253858"/>
          <w:sz w:val="16"/>
        </w:rPr>
        <w:t xml:space="preserve">[1] Creează o campanie Search - Centrul de ajutor Google Ads: </w:t>
      </w:r>
      <w:hyperlink r:id="rId11">
        <w:r>
          <w:rPr>
            <w:rFonts w:ascii="Arial" w:hAnsi="Arial" w:eastAsia="Arial"/>
            <w:b w:val="0"/>
            <w:i w:val="0"/>
            <w:color w:val="0563C1"/>
            <w:sz w:val="16"/>
            <w:u w:val="single"/>
          </w:rPr>
          <w:t>https://support.google.com/google-ads/answer/9510373?hl=ro</w:t>
        </w:r>
      </w:hyperlink>
    </w:p>
    <w:p>
      <w:pPr>
        <w:spacing w:before="0" w:after="20" w:line="240" w:lineRule="auto"/>
      </w:pPr>
      <w:r>
        <w:rPr>
          <w:rFonts w:ascii="Arial" w:hAnsi="Arial" w:eastAsia="Arial"/>
          <w:b/>
          <w:i w:val="0"/>
          <w:color w:val="253858"/>
          <w:sz w:val="16"/>
        </w:rPr>
        <w:t xml:space="preserve">[2] Despre Rețeaua de căutare Google - Centrul de ajutor Google Ads: </w:t>
      </w:r>
      <w:hyperlink r:id="rId12">
        <w:r>
          <w:rPr>
            <w:rFonts w:ascii="Arial" w:hAnsi="Arial" w:eastAsia="Arial"/>
            <w:b w:val="0"/>
            <w:i w:val="0"/>
            <w:color w:val="0563C1"/>
            <w:sz w:val="16"/>
            <w:u w:val="single"/>
          </w:rPr>
          <w:t>https://support.google.com/google-ads/answer/1722047?hl=ro</w:t>
        </w:r>
      </w:hyperlink>
    </w:p>
    <w:p>
      <w:pPr>
        <w:spacing w:before="0" w:after="20" w:line="240" w:lineRule="auto"/>
      </w:pPr>
      <w:r>
        <w:rPr>
          <w:rFonts w:ascii="Arial" w:hAnsi="Arial" w:eastAsia="Arial"/>
          <w:b/>
          <w:i w:val="0"/>
          <w:color w:val="253858"/>
          <w:sz w:val="16"/>
        </w:rPr>
        <w:t xml:space="preserve">[3] Urmărește conversiile pe site - Centrul de ajutor Google Ads: </w:t>
      </w:r>
      <w:hyperlink r:id="rId13">
        <w:r>
          <w:rPr>
            <w:rFonts w:ascii="Arial" w:hAnsi="Arial" w:eastAsia="Arial"/>
            <w:b w:val="0"/>
            <w:i w:val="0"/>
            <w:color w:val="0563C1"/>
            <w:sz w:val="16"/>
            <w:u w:val="single"/>
          </w:rPr>
          <w:t>https://support.google.com/google-ads/answer/6095821?hl=ro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822" w:bottom="1077" w:left="822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64748B"/>
        <w:sz w:val="15"/>
      </w:rPr>
      <w:t>Pascal Răzvan | PPC Specialist | pascalrazvan.ro | 0754 386 098 | pascal.razvan.constantin@gmail.com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4989"/>
      <w:gridCol w:w="4989"/>
    </w:tblGrid>
    <w:tr>
      <w:tc>
        <w:tcPr>
          <w:tcW w:type="dxa" w:w="4989"/>
          <w:shd w:fill="1A2B4C"/>
          <w:tcMar>
            <w:top w:w="90" w:type="dxa"/>
            <w:start w:w="130" w:type="dxa"/>
            <w:bottom w:w="90" w:type="dxa"/>
            <w:end w:w="130" w:type="dxa"/>
          </w:tcMar>
          <w:vAlign w:val="center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116000" cy="317145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ascal-razvan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000" cy="3171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989"/>
          <w:shd w:fill="1A2B4C"/>
          <w:tcMar>
            <w:top w:w="90" w:type="dxa"/>
            <w:start w:w="130" w:type="dxa"/>
            <w:bottom w:w="90" w:type="dxa"/>
            <w:end w:w="130" w:type="dxa"/>
          </w:tcMar>
          <w:vAlign w:val="center"/>
        </w:tcPr>
        <w:p>
          <w:pPr>
            <w:jc w:val="right"/>
          </w:pPr>
          <w:r>
            <w:rPr>
              <w:rFonts w:ascii="Arial" w:hAnsi="Arial" w:eastAsia="Arial"/>
              <w:b/>
              <w:i w:val="0"/>
              <w:color w:val="FFFFFF"/>
              <w:sz w:val="22"/>
            </w:rPr>
            <w:t>PASCAL RĂZVAN</w:t>
            <w:br/>
          </w:r>
          <w:r>
            <w:rPr>
              <w:rFonts w:ascii="Arial" w:hAnsi="Arial" w:eastAsia="Arial"/>
              <w:b w:val="0"/>
              <w:i w:val="0"/>
              <w:color w:val="E6EDF8"/>
              <w:sz w:val="16"/>
            </w:rPr>
            <w:t>PPC Specialist | pascalrazvan.ro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upport.google.com/google-ads/answer/9510373?hl=ro" TargetMode="External"/><Relationship Id="rId12" Type="http://schemas.openxmlformats.org/officeDocument/2006/relationships/hyperlink" Target="https://support.google.com/google-ads/answer/1722047?hl=ro" TargetMode="External"/><Relationship Id="rId13" Type="http://schemas.openxmlformats.org/officeDocument/2006/relationships/hyperlink" Target="https://support.google.com/google-ads/answer/6095821?hl=ro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lansare pentru campanii Search | Pascal Răzvan</dc:title>
  <dc:subject>Resursă practică pentru lansarea campaniilor Google Ads Search</dc:subject>
  <dc:creator>Pascal Răzvan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