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W w:type="auto" w:w="0"/>
        <w:tblLayout w:type="fixed"/>
        <w:tblLook w:firstColumn="1" w:firstRow="1" w:lastColumn="0" w:lastRow="0" w:noHBand="0" w:noVBand="1" w:val="04A0"/>
      </w:tblPr>
      <w:tblGrid>
        <w:gridCol w:w="2494"/>
        <w:gridCol w:w="7030"/>
      </w:tblGrid>
      <w:tr>
        <w:tc>
          <w:tcPr>
            <w:tcW w:type="dxa" w:w="5185"/>
            <w:shd w:fill="1A2B4C"/>
            <w:tcMar>
              <w:top w:w="120" w:type="dxa"/>
              <w:start w:w="160" w:type="dxa"/>
              <w:bottom w:w="120" w:type="dxa"/>
              <w:end w:w="160" w:type="dxa"/>
            </w:tcMar>
          </w:tcPr>
          <w:p>
            <w:pPr>
              <w:jc w:val="left"/>
            </w:pPr>
            <w:r>
              <w:drawing>
                <wp:inline xmlns:a="http://schemas.openxmlformats.org/drawingml/2006/main" xmlns:pic="http://schemas.openxmlformats.org/drawingml/2006/picture">
                  <wp:extent cx="1188000" cy="337605"/>
                  <wp:docPr id="1" name="Picture 1"/>
                  <wp:cNvGraphicFramePr>
                    <a:graphicFrameLocks noChangeAspect="1"/>
                  </wp:cNvGraphicFramePr>
                  <a:graphic>
                    <a:graphicData uri="http://schemas.openxmlformats.org/drawingml/2006/picture">
                      <pic:pic>
                        <pic:nvPicPr>
                          <pic:cNvPr id="0" name="pascal-razvan-logo.png"/>
                          <pic:cNvPicPr/>
                        </pic:nvPicPr>
                        <pic:blipFill>
                          <a:blip r:embed="rId9"/>
                          <a:stretch>
                            <a:fillRect/>
                          </a:stretch>
                        </pic:blipFill>
                        <pic:spPr>
                          <a:xfrm>
                            <a:off x="0" y="0"/>
                            <a:ext cx="1188000" cy="337605"/>
                          </a:xfrm>
                          <a:prstGeom prst="rect"/>
                        </pic:spPr>
                      </pic:pic>
                    </a:graphicData>
                  </a:graphic>
                </wp:inline>
              </w:drawing>
            </w:r>
          </w:p>
        </w:tc>
        <w:tc>
          <w:tcPr>
            <w:tcW w:type="dxa" w:w="5185"/>
            <w:shd w:fill="1A2B4C"/>
            <w:tcMar>
              <w:top w:w="120" w:type="dxa"/>
              <w:start w:w="160" w:type="dxa"/>
              <w:bottom w:w="120" w:type="dxa"/>
              <w:end w:w="160" w:type="dxa"/>
            </w:tcMar>
          </w:tcPr>
          <w:p>
            <w:pPr>
              <w:jc w:val="right"/>
            </w:pPr>
            <w:r>
              <w:rPr>
                <w:rFonts w:ascii="Arial" w:hAnsi="Arial" w:eastAsia="Arial"/>
                <w:b/>
                <w:i w:val="0"/>
                <w:color w:val="FFFFFF"/>
                <w:sz w:val="24"/>
              </w:rPr>
              <w:t>PASCAL RĂZVAN</w:t>
              <w:br/>
            </w:r>
            <w:r>
              <w:rPr>
                <w:rFonts w:ascii="Arial" w:hAnsi="Arial" w:eastAsia="Arial"/>
                <w:b w:val="0"/>
                <w:i w:val="0"/>
                <w:color w:val="E6EDF8"/>
                <w:sz w:val="17"/>
              </w:rPr>
              <w:t>PPC Specialist | pascalrazvan.ro</w:t>
            </w:r>
          </w:p>
        </w:tc>
      </w:tr>
    </w:tbl>
    <w:p>
      <w:r>
        <w:rPr>
          <w:rFonts w:ascii="Arial" w:hAnsi="Arial" w:eastAsia="Arial"/>
          <w:b/>
          <w:i w:val="0"/>
          <w:color w:val="1A2B4C"/>
          <w:sz w:val="46"/>
        </w:rPr>
        <w:t>Ghid de utilizare - Checklist de lansare Performance Max</w:t>
      </w:r>
    </w:p>
    <w:p>
      <w:r>
        <w:rPr>
          <w:rFonts w:ascii="Arial" w:hAnsi="Arial" w:eastAsia="Arial"/>
          <w:b w:val="0"/>
          <w:i w:val="0"/>
          <w:color w:val="64748B"/>
          <w:sz w:val="22"/>
        </w:rPr>
        <w:t>Resursă practică creată de Pascal Răzvan pentru verificarea configurării înainte de activarea unei campanii.</w:t>
      </w:r>
    </w:p>
    <w:tbl>
      <w:tblPr>
        <w:tblW w:type="auto" w:w="0"/>
        <w:tblLook w:firstColumn="1" w:firstRow="1" w:lastColumn="0" w:lastRow="0" w:noHBand="0" w:noVBand="1" w:val="04A0"/>
      </w:tblPr>
      <w:tblGrid>
        <w:gridCol w:w="10370"/>
      </w:tblGrid>
      <w:tr>
        <w:tc>
          <w:tcPr>
            <w:tcW w:type="dxa" w:w="10370"/>
            <w:shd w:fill="FDF4E2"/>
            <w:tcBorders>
              <w:top w:val="single" w:sz="6" w:color="E8A838"/>
              <w:left w:val="single" w:sz="6" w:color="E8A838"/>
              <w:bottom w:val="single" w:sz="6" w:color="E8A838"/>
              <w:right w:val="single" w:sz="6" w:color="E8A838"/>
            </w:tcBorders>
            <w:tcMar>
              <w:top w:w="160" w:type="dxa"/>
              <w:start w:w="200" w:type="dxa"/>
              <w:bottom w:w="160" w:type="dxa"/>
              <w:end w:w="200" w:type="dxa"/>
            </w:tcMar>
          </w:tcPr>
          <w:p>
            <w:r>
              <w:rPr>
                <w:rFonts w:ascii="Arial" w:hAnsi="Arial" w:eastAsia="Arial"/>
                <w:b/>
                <w:i w:val="0"/>
                <w:color w:val="1A2B4C"/>
                <w:sz w:val="21"/>
              </w:rPr>
              <w:t xml:space="preserve">Ce este această resursă? </w:t>
            </w:r>
            <w:r>
              <w:rPr>
                <w:rFonts w:ascii="Arial" w:hAnsi="Arial" w:eastAsia="Arial"/>
                <w:b w:val="0"/>
                <w:i w:val="0"/>
                <w:color w:val="1F2937"/>
                <w:sz w:val="21"/>
              </w:rPr>
              <w:t>Este un instrument de control înainte de lansare. Nu înlocuiește analiza contului, verificarea tracking-ului sau deciziile de strategie, dar ajută la evitarea omisiunilor de configurare.</w:t>
            </w:r>
          </w:p>
        </w:tc>
      </w:tr>
    </w:tbl>
    <w:p>
      <w:r>
        <w:rPr>
          <w:rFonts w:ascii="Arial" w:hAnsi="Arial" w:eastAsia="Arial"/>
          <w:b/>
          <w:i w:val="0"/>
          <w:color w:val="1A2B4C"/>
          <w:sz w:val="28"/>
        </w:rPr>
        <w:t>Cele două atașamente și rolul fiecăruia</w:t>
      </w:r>
    </w:p>
    <w:tbl>
      <w:tblPr>
        <w:tblStyle w:val="TableGrid"/>
        <w:tblW w:type="auto" w:w="0"/>
        <w:tblLook w:firstColumn="1" w:firstRow="1" w:lastColumn="0" w:lastRow="0" w:noHBand="0" w:noVBand="1" w:val="04A0"/>
      </w:tblPr>
      <w:tblGrid>
        <w:gridCol w:w="3457"/>
        <w:gridCol w:w="3457"/>
        <w:gridCol w:w="3457"/>
      </w:tblGrid>
      <w:tr>
        <w:tc>
          <w:tcPr>
            <w:tcW w:type="dxa" w:w="3457"/>
            <w:shd w:fill="1A2B4C"/>
            <w:tcMar>
              <w:top w:w="100" w:type="dxa"/>
              <w:start w:w="120" w:type="dxa"/>
              <w:bottom w:w="100" w:type="dxa"/>
              <w:end w:w="120" w:type="dxa"/>
            </w:tcMar>
            <w:vAlign w:val="center"/>
          </w:tcPr>
          <w:p>
            <w:r>
              <w:rPr>
                <w:rFonts w:ascii="Arial" w:hAnsi="Arial" w:eastAsia="Arial"/>
                <w:b/>
                <w:i w:val="0"/>
                <w:color w:val="FFFFFF"/>
                <w:sz w:val="19"/>
              </w:rPr>
              <w:t>Resursă</w:t>
            </w:r>
          </w:p>
        </w:tc>
        <w:tc>
          <w:tcPr>
            <w:tcW w:type="dxa" w:w="3457"/>
            <w:shd w:fill="1A2B4C"/>
            <w:tcMar>
              <w:top w:w="100" w:type="dxa"/>
              <w:start w:w="120" w:type="dxa"/>
              <w:bottom w:w="100" w:type="dxa"/>
              <w:end w:w="120" w:type="dxa"/>
            </w:tcMar>
            <w:vAlign w:val="center"/>
          </w:tcPr>
          <w:p>
            <w:r>
              <w:rPr>
                <w:rFonts w:ascii="Arial" w:hAnsi="Arial" w:eastAsia="Arial"/>
                <w:b/>
                <w:i w:val="0"/>
                <w:color w:val="FFFFFF"/>
                <w:sz w:val="19"/>
              </w:rPr>
              <w:t>La ce folosește</w:t>
            </w:r>
          </w:p>
        </w:tc>
        <w:tc>
          <w:tcPr>
            <w:tcW w:type="dxa" w:w="3457"/>
            <w:shd w:fill="1A2B4C"/>
            <w:tcMar>
              <w:top w:w="100" w:type="dxa"/>
              <w:start w:w="120" w:type="dxa"/>
              <w:bottom w:w="100" w:type="dxa"/>
              <w:end w:w="120" w:type="dxa"/>
            </w:tcMar>
            <w:vAlign w:val="center"/>
          </w:tcPr>
          <w:p>
            <w:r>
              <w:rPr>
                <w:rFonts w:ascii="Arial" w:hAnsi="Arial" w:eastAsia="Arial"/>
                <w:b/>
                <w:i w:val="0"/>
                <w:color w:val="FFFFFF"/>
                <w:sz w:val="19"/>
              </w:rPr>
              <w:t>Când o folosești</w:t>
            </w:r>
          </w:p>
        </w:tc>
      </w:tr>
      <w:tr>
        <w:tc>
          <w:tcPr>
            <w:tcW w:type="dxa" w:w="3457"/>
            <w:tcMar>
              <w:top w:w="100" w:type="dxa"/>
              <w:start w:w="120" w:type="dxa"/>
              <w:bottom w:w="100" w:type="dxa"/>
              <w:end w:w="120" w:type="dxa"/>
            </w:tcMar>
            <w:tcBorders>
              <w:top w:val="single" w:sz="6" w:color="D7E0EA"/>
              <w:left w:val="single" w:sz="6" w:color="D7E0EA"/>
              <w:bottom w:val="single" w:sz="6" w:color="D7E0EA"/>
              <w:right w:val="single" w:sz="6" w:color="D7E0EA"/>
            </w:tcBorders>
          </w:tcPr>
          <w:p>
            <w:r>
              <w:rPr>
                <w:rFonts w:ascii="Arial" w:hAnsi="Arial" w:eastAsia="Arial"/>
                <w:b/>
                <w:i w:val="0"/>
                <w:color w:val="1A2B4C"/>
                <w:sz w:val="19"/>
              </w:rPr>
              <w:t>Checklist Excel</w:t>
            </w:r>
          </w:p>
        </w:tc>
        <w:tc>
          <w:tcPr>
            <w:tcW w:type="dxa" w:w="3457"/>
            <w:tcMar>
              <w:top w:w="100" w:type="dxa"/>
              <w:start w:w="120" w:type="dxa"/>
              <w:bottom w:w="100" w:type="dxa"/>
              <w:end w:w="120" w:type="dxa"/>
            </w:tcMar>
            <w:tcBorders>
              <w:top w:val="single" w:sz="6" w:color="D7E0EA"/>
              <w:left w:val="single" w:sz="6" w:color="D7E0EA"/>
              <w:bottom w:val="single" w:sz="6" w:color="D7E0EA"/>
              <w:right w:val="single" w:sz="6" w:color="D7E0EA"/>
            </w:tcBorders>
          </w:tcPr>
          <w:p>
            <w:r>
              <w:rPr>
                <w:rFonts w:ascii="Arial" w:hAnsi="Arial" w:eastAsia="Arial"/>
                <w:b w:val="0"/>
                <w:i w:val="0"/>
                <w:color w:val="1F2937"/>
                <w:sz w:val="19"/>
              </w:rPr>
              <w:t>O listă cu puncte verificabile, categorii și coloană cu ☐, ☑ sau N/A, plus spațiu pentru observații.</w:t>
            </w:r>
          </w:p>
        </w:tc>
        <w:tc>
          <w:tcPr>
            <w:tcW w:type="dxa" w:w="3457"/>
            <w:tcMar>
              <w:top w:w="100" w:type="dxa"/>
              <w:start w:w="120" w:type="dxa"/>
              <w:bottom w:w="100" w:type="dxa"/>
              <w:end w:w="120" w:type="dxa"/>
            </w:tcMar>
            <w:tcBorders>
              <w:top w:val="single" w:sz="6" w:color="D7E0EA"/>
              <w:left w:val="single" w:sz="6" w:color="D7E0EA"/>
              <w:bottom w:val="single" w:sz="6" w:color="D7E0EA"/>
              <w:right w:val="single" w:sz="6" w:color="D7E0EA"/>
            </w:tcBorders>
          </w:tcPr>
          <w:p>
            <w:r>
              <w:rPr>
                <w:rFonts w:ascii="Arial" w:hAnsi="Arial" w:eastAsia="Arial"/>
                <w:b w:val="0"/>
                <w:i w:val="0"/>
                <w:color w:val="1F2937"/>
                <w:sz w:val="19"/>
              </w:rPr>
              <w:t>Înainte de activare și la revizia inițială a campaniei.</w:t>
            </w:r>
          </w:p>
        </w:tc>
      </w:tr>
      <w:tr>
        <w:tc>
          <w:tcPr>
            <w:tcW w:type="dxa" w:w="3457"/>
            <w:tcMar>
              <w:top w:w="100" w:type="dxa"/>
              <w:start w:w="120" w:type="dxa"/>
              <w:bottom w:w="100" w:type="dxa"/>
              <w:end w:w="120" w:type="dxa"/>
            </w:tcMar>
            <w:tcBorders>
              <w:top w:val="single" w:sz="6" w:color="D7E0EA"/>
              <w:left w:val="single" w:sz="6" w:color="D7E0EA"/>
              <w:bottom w:val="single" w:sz="6" w:color="D7E0EA"/>
              <w:right w:val="single" w:sz="6" w:color="D7E0EA"/>
            </w:tcBorders>
          </w:tcPr>
          <w:p>
            <w:r>
              <w:rPr>
                <w:rFonts w:ascii="Arial" w:hAnsi="Arial" w:eastAsia="Arial"/>
                <w:b/>
                <w:i w:val="0"/>
                <w:color w:val="1A2B4C"/>
                <w:sz w:val="19"/>
              </w:rPr>
              <w:t>Ghid Word</w:t>
            </w:r>
          </w:p>
        </w:tc>
        <w:tc>
          <w:tcPr>
            <w:tcW w:type="dxa" w:w="3457"/>
            <w:tcMar>
              <w:top w:w="100" w:type="dxa"/>
              <w:start w:w="120" w:type="dxa"/>
              <w:bottom w:w="100" w:type="dxa"/>
              <w:end w:w="120" w:type="dxa"/>
            </w:tcMar>
            <w:tcBorders>
              <w:top w:val="single" w:sz="6" w:color="D7E0EA"/>
              <w:left w:val="single" w:sz="6" w:color="D7E0EA"/>
              <w:bottom w:val="single" w:sz="6" w:color="D7E0EA"/>
              <w:right w:val="single" w:sz="6" w:color="D7E0EA"/>
            </w:tcBorders>
          </w:tcPr>
          <w:p>
            <w:r>
              <w:rPr>
                <w:rFonts w:ascii="Arial" w:hAnsi="Arial" w:eastAsia="Arial"/>
                <w:b w:val="0"/>
                <w:i w:val="0"/>
                <w:color w:val="1F2937"/>
                <w:sz w:val="19"/>
              </w:rPr>
              <w:t>Explică modul de parcurgere al checklistului, deciziile care necesită atenție și termenii din interfața Google Ads.</w:t>
            </w:r>
          </w:p>
        </w:tc>
        <w:tc>
          <w:tcPr>
            <w:tcW w:type="dxa" w:w="3457"/>
            <w:tcMar>
              <w:top w:w="100" w:type="dxa"/>
              <w:start w:w="120" w:type="dxa"/>
              <w:bottom w:w="100" w:type="dxa"/>
              <w:end w:w="120" w:type="dxa"/>
            </w:tcMar>
            <w:tcBorders>
              <w:top w:val="single" w:sz="6" w:color="D7E0EA"/>
              <w:left w:val="single" w:sz="6" w:color="D7E0EA"/>
              <w:bottom w:val="single" w:sz="6" w:color="D7E0EA"/>
              <w:right w:val="single" w:sz="6" w:color="D7E0EA"/>
            </w:tcBorders>
          </w:tcPr>
          <w:p>
            <w:r>
              <w:rPr>
                <w:rFonts w:ascii="Arial" w:hAnsi="Arial" w:eastAsia="Arial"/>
                <w:b w:val="0"/>
                <w:i w:val="0"/>
                <w:color w:val="1F2937"/>
                <w:sz w:val="19"/>
              </w:rPr>
              <w:t>Înainte de configurare, pentru alinierea echipei sau a clientului.</w:t>
            </w:r>
          </w:p>
        </w:tc>
      </w:tr>
    </w:tbl>
    <w:p>
      <w:r>
        <w:rPr>
          <w:rFonts w:ascii="Arial" w:hAnsi="Arial" w:eastAsia="Arial"/>
          <w:b/>
          <w:i w:val="0"/>
          <w:color w:val="1A2B4C"/>
          <w:sz w:val="28"/>
        </w:rPr>
        <w:t>Flux simplu de utilizare</w:t>
      </w:r>
    </w:p>
    <w:p>
      <w:pPr>
        <w:pStyle w:val="ListBullet"/>
        <w:spacing w:after="80"/>
      </w:pPr>
      <w:r>
        <w:rPr>
          <w:rFonts w:ascii="Arial" w:hAnsi="Arial" w:eastAsia="Arial"/>
          <w:b/>
          <w:i w:val="0"/>
          <w:color w:val="1A2B4C"/>
          <w:sz w:val="21"/>
        </w:rPr>
        <w:t xml:space="preserve">1. Pornește de la obiectiv. </w:t>
      </w:r>
      <w:r>
        <w:rPr>
          <w:rFonts w:ascii="Arial" w:hAnsi="Arial" w:eastAsia="Arial"/>
          <w:b w:val="0"/>
          <w:i w:val="0"/>
          <w:color w:val="1F2937"/>
          <w:sz w:val="21"/>
        </w:rPr>
        <w:t>Clarifică dacă optimizezi pentru lead-uri, vânzări sau valoare de conversie și alege doar conversiile care susțin acel obiectiv.</w:t>
      </w:r>
    </w:p>
    <w:p>
      <w:pPr>
        <w:pStyle w:val="ListBullet"/>
        <w:spacing w:after="80"/>
      </w:pPr>
      <w:r>
        <w:rPr>
          <w:rFonts w:ascii="Arial" w:hAnsi="Arial" w:eastAsia="Arial"/>
          <w:b/>
          <w:i w:val="0"/>
          <w:color w:val="1A2B4C"/>
          <w:sz w:val="21"/>
        </w:rPr>
        <w:t xml:space="preserve">2. Verifică măsurarea. </w:t>
      </w:r>
      <w:r>
        <w:rPr>
          <w:rFonts w:ascii="Arial" w:hAnsi="Arial" w:eastAsia="Arial"/>
          <w:b w:val="0"/>
          <w:i w:val="0"/>
          <w:color w:val="1F2937"/>
          <w:sz w:val="21"/>
        </w:rPr>
        <w:t>Testează conversiile, valorile, UTM-urile și eventualele setări avansate înainte de lansare.</w:t>
      </w:r>
    </w:p>
    <w:p>
      <w:pPr>
        <w:pStyle w:val="ListBullet"/>
        <w:spacing w:after="80"/>
      </w:pPr>
      <w:r>
        <w:rPr>
          <w:rFonts w:ascii="Arial" w:hAnsi="Arial" w:eastAsia="Arial"/>
          <w:b/>
          <w:i w:val="0"/>
          <w:color w:val="1A2B4C"/>
          <w:sz w:val="21"/>
        </w:rPr>
        <w:t xml:space="preserve">3. Decide nivelul de control. </w:t>
      </w:r>
      <w:r>
        <w:rPr>
          <w:rFonts w:ascii="Arial" w:hAnsi="Arial" w:eastAsia="Arial"/>
          <w:b w:val="0"/>
          <w:i w:val="0"/>
          <w:color w:val="1F2937"/>
          <w:sz w:val="21"/>
        </w:rPr>
        <w:t>Alege structura, segmentarea, final URL expansion, brand exclusions și setările Merchant Center în funcție de business.</w:t>
      </w:r>
    </w:p>
    <w:p>
      <w:pPr>
        <w:pStyle w:val="ListBullet"/>
        <w:spacing w:after="80"/>
      </w:pPr>
      <w:r>
        <w:rPr>
          <w:rFonts w:ascii="Arial" w:hAnsi="Arial" w:eastAsia="Arial"/>
          <w:b/>
          <w:i w:val="0"/>
          <w:color w:val="1A2B4C"/>
          <w:sz w:val="21"/>
        </w:rPr>
        <w:t xml:space="preserve">4. Verifică Search. </w:t>
      </w:r>
      <w:r>
        <w:rPr>
          <w:rFonts w:ascii="Arial" w:hAnsi="Arial" w:eastAsia="Arial"/>
          <w:b w:val="0"/>
          <w:i w:val="0"/>
          <w:color w:val="1F2937"/>
          <w:sz w:val="21"/>
        </w:rPr>
        <w:t>Definește Search Themes relevante, verifică intenția și stabilește separat strategia de brand, non-brand și analiza Search term insights.</w:t>
      </w:r>
    </w:p>
    <w:p>
      <w:pPr>
        <w:pStyle w:val="ListBullet"/>
        <w:spacing w:after="80"/>
      </w:pPr>
      <w:r>
        <w:rPr>
          <w:rFonts w:ascii="Arial" w:hAnsi="Arial" w:eastAsia="Arial"/>
          <w:b/>
          <w:i w:val="0"/>
          <w:color w:val="1A2B4C"/>
          <w:sz w:val="21"/>
        </w:rPr>
        <w:t xml:space="preserve">5. Completează activele. </w:t>
      </w:r>
      <w:r>
        <w:rPr>
          <w:rFonts w:ascii="Arial" w:hAnsi="Arial" w:eastAsia="Arial"/>
          <w:b w:val="0"/>
          <w:i w:val="0"/>
          <w:color w:val="1F2937"/>
          <w:sz w:val="21"/>
        </w:rPr>
        <w:t>Verifică textele, imaginile, video-urile, logo-urile și extensiile pentru relevanță, coerență și conformitate cu pagina de destinație.</w:t>
      </w:r>
    </w:p>
    <w:p>
      <w:pPr>
        <w:pStyle w:val="ListBullet"/>
        <w:spacing w:after="80"/>
      </w:pPr>
      <w:r>
        <w:rPr>
          <w:rFonts w:ascii="Arial" w:hAnsi="Arial" w:eastAsia="Arial"/>
          <w:b/>
          <w:i w:val="0"/>
          <w:color w:val="1A2B4C"/>
          <w:sz w:val="21"/>
        </w:rPr>
        <w:t xml:space="preserve">6. Activează gradual. </w:t>
      </w:r>
      <w:r>
        <w:rPr>
          <w:rFonts w:ascii="Arial" w:hAnsi="Arial" w:eastAsia="Arial"/>
          <w:b w:val="0"/>
          <w:i w:val="0"/>
          <w:color w:val="1F2937"/>
          <w:sz w:val="21"/>
        </w:rPr>
        <w:t>Urmărește aprobările, livrarea și datele inițiale. Evită schimbările frecvente și ample înainte ca sistemul să acumuleze suficiente semnale.</w:t>
      </w:r>
    </w:p>
    <w:p>
      <w:pPr>
        <w:pStyle w:val="ListBullet"/>
        <w:spacing w:after="80"/>
      </w:pPr>
      <w:r>
        <w:rPr>
          <w:rFonts w:ascii="Arial" w:hAnsi="Arial" w:eastAsia="Arial"/>
          <w:b/>
          <w:i w:val="0"/>
          <w:color w:val="1A2B4C"/>
          <w:sz w:val="21"/>
        </w:rPr>
        <w:t xml:space="preserve">7. Documentează deciziile. </w:t>
      </w:r>
      <w:r>
        <w:rPr>
          <w:rFonts w:ascii="Arial" w:hAnsi="Arial" w:eastAsia="Arial"/>
          <w:b w:val="0"/>
          <w:i w:val="0"/>
          <w:color w:val="1F2937"/>
          <w:sz w:val="21"/>
        </w:rPr>
        <w:t>Marchează ☐, ☑ sau N/A și notează observațiile direct în fișierul Excel, astfel încât următoarea revizie să pornească de la un context clar.</w:t>
      </w:r>
    </w:p>
    <w:p>
      <w:r>
        <w:rPr>
          <w:rFonts w:ascii="Arial" w:hAnsi="Arial" w:eastAsia="Arial"/>
          <w:b/>
          <w:i w:val="0"/>
          <w:color w:val="1A2B4C"/>
          <w:sz w:val="28"/>
        </w:rPr>
        <w:t>Zone care merită atenție înainte de lansare</w:t>
      </w:r>
    </w:p>
    <w:p>
      <w:pPr>
        <w:pStyle w:val="ListBullet"/>
        <w:spacing w:after="80"/>
      </w:pPr>
      <w:r>
        <w:rPr>
          <w:rFonts w:ascii="Arial" w:hAnsi="Arial" w:eastAsia="Arial"/>
          <w:b/>
          <w:i w:val="0"/>
          <w:color w:val="1A2B4C"/>
          <w:sz w:val="21"/>
        </w:rPr>
        <w:t xml:space="preserve">Conversion Actions: </w:t>
      </w:r>
      <w:r>
        <w:rPr>
          <w:rFonts w:ascii="Arial" w:hAnsi="Arial" w:eastAsia="Arial"/>
          <w:b w:val="0"/>
          <w:i w:val="0"/>
          <w:color w:val="1F2937"/>
          <w:sz w:val="21"/>
        </w:rPr>
        <w:t>În sistemul Google Ads, conversiile selectate ca obiective de campanie ghidează automatizarea. Nu adăuga acțiuni secundare ca obiective principale doar pentru că sunt ușor de măsurat.</w:t>
      </w:r>
    </w:p>
    <w:p>
      <w:pPr>
        <w:pStyle w:val="ListBullet"/>
        <w:spacing w:after="80"/>
      </w:pPr>
      <w:r>
        <w:rPr>
          <w:rFonts w:ascii="Arial" w:hAnsi="Arial" w:eastAsia="Arial"/>
          <w:b/>
          <w:i w:val="0"/>
          <w:color w:val="1A2B4C"/>
          <w:sz w:val="21"/>
        </w:rPr>
        <w:t xml:space="preserve">Final URL Expansion: </w:t>
      </w:r>
      <w:r>
        <w:rPr>
          <w:rFonts w:ascii="Arial" w:hAnsi="Arial" w:eastAsia="Arial"/>
          <w:b w:val="0"/>
          <w:i w:val="0"/>
          <w:color w:val="1F2937"/>
          <w:sz w:val="21"/>
        </w:rPr>
        <w:t>Această setare poate înlocui URL-ul final cu o pagină considerată mai relevantă. Dacă alegi să o lași activă, verifică excluderile de URL și paginile ce nu trebuie promovate.</w:t>
      </w:r>
    </w:p>
    <w:p>
      <w:pPr>
        <w:pStyle w:val="ListBullet"/>
        <w:spacing w:after="80"/>
      </w:pPr>
      <w:r>
        <w:rPr>
          <w:rFonts w:ascii="Arial" w:hAnsi="Arial" w:eastAsia="Arial"/>
          <w:b/>
          <w:i w:val="0"/>
          <w:color w:val="1A2B4C"/>
          <w:sz w:val="21"/>
        </w:rPr>
        <w:t xml:space="preserve">Asset Groups: </w:t>
      </w:r>
      <w:r>
        <w:rPr>
          <w:rFonts w:ascii="Arial" w:hAnsi="Arial" w:eastAsia="Arial"/>
          <w:b w:val="0"/>
          <w:i w:val="0"/>
          <w:color w:val="1F2937"/>
          <w:sz w:val="21"/>
        </w:rPr>
        <w:t>Grupurile de active trebuie să păstreze o temă clară între produse sau servicii, promisiune, active și pagina de destinație.</w:t>
      </w:r>
    </w:p>
    <w:p>
      <w:pPr>
        <w:pStyle w:val="ListBullet"/>
        <w:spacing w:after="80"/>
      </w:pPr>
      <w:r>
        <w:rPr>
          <w:rFonts w:ascii="Arial" w:hAnsi="Arial" w:eastAsia="Arial"/>
          <w:b/>
          <w:i w:val="0"/>
          <w:color w:val="1A2B4C"/>
          <w:sz w:val="21"/>
        </w:rPr>
        <w:t xml:space="preserve">Audience Signals: </w:t>
      </w:r>
      <w:r>
        <w:rPr>
          <w:rFonts w:ascii="Arial" w:hAnsi="Arial" w:eastAsia="Arial"/>
          <w:b w:val="0"/>
          <w:i w:val="0"/>
          <w:color w:val="1F2937"/>
          <w:sz w:val="21"/>
        </w:rPr>
        <w:t>Sunt semnale pentru a ghida sistemul, nu o limitare rigidă a audienței. Folosește date de primă parte și teme relevante.</w:t>
      </w:r>
    </w:p>
    <w:p>
      <w:pPr>
        <w:pStyle w:val="ListBullet"/>
        <w:spacing w:after="80"/>
      </w:pPr>
      <w:r>
        <w:rPr>
          <w:rFonts w:ascii="Arial" w:hAnsi="Arial" w:eastAsia="Arial"/>
          <w:b/>
          <w:i w:val="0"/>
          <w:color w:val="1A2B4C"/>
          <w:sz w:val="21"/>
        </w:rPr>
        <w:t xml:space="preserve">Search Themes: </w:t>
      </w:r>
      <w:r>
        <w:rPr>
          <w:rFonts w:ascii="Arial" w:hAnsi="Arial" w:eastAsia="Arial"/>
          <w:b w:val="0"/>
          <w:i w:val="0"/>
          <w:color w:val="1F2937"/>
          <w:sz w:val="21"/>
        </w:rPr>
        <w:t>Teme de căutare care ajută sistemul să înțeleagă oferta. Pornește de la intenții, categorii, servicii și pagini relevante, apoi validează Search term insights după lansare.</w:t>
      </w:r>
    </w:p>
    <w:p>
      <w:pPr>
        <w:pStyle w:val="ListBullet"/>
        <w:spacing w:after="80"/>
      </w:pPr>
      <w:r>
        <w:rPr>
          <w:rFonts w:ascii="Arial" w:hAnsi="Arial" w:eastAsia="Arial"/>
          <w:b/>
          <w:i w:val="0"/>
          <w:color w:val="1A2B4C"/>
          <w:sz w:val="21"/>
        </w:rPr>
        <w:t xml:space="preserve">Merchant Center: </w:t>
      </w:r>
      <w:r>
        <w:rPr>
          <w:rFonts w:ascii="Arial" w:hAnsi="Arial" w:eastAsia="Arial"/>
          <w:b w:val="0"/>
          <w:i w:val="0"/>
          <w:color w:val="1F2937"/>
          <w:sz w:val="21"/>
        </w:rPr>
        <w:t>Pentru e-commerce, feedul, disponibilitatea, prețurile și imaginile sunt parte din experiența de conversie. Verifică erorile înainte de lansare.</w:t>
      </w:r>
    </w:p>
    <w:p>
      <w:r>
        <w:rPr>
          <w:rFonts w:ascii="Arial" w:hAnsi="Arial" w:eastAsia="Arial"/>
          <w:b/>
          <w:i w:val="0"/>
          <w:color w:val="1A2B4C"/>
          <w:sz w:val="28"/>
        </w:rPr>
        <w:t>Termeni păstrați în engleză, când sunt relevanți</w:t>
      </w:r>
    </w:p>
    <w:tbl>
      <w:tblPr>
        <w:tblStyle w:val="TableGrid"/>
        <w:tblW w:type="auto" w:w="0"/>
        <w:tblLook w:firstColumn="1" w:firstRow="1" w:lastColumn="0" w:lastRow="0" w:noHBand="0" w:noVBand="1" w:val="04A0"/>
      </w:tblPr>
      <w:tblGrid>
        <w:gridCol w:w="5185"/>
        <w:gridCol w:w="5185"/>
      </w:tblGrid>
      <w:tr>
        <w:tc>
          <w:tcPr>
            <w:tcW w:type="dxa" w:w="5185"/>
            <w:shd w:fill="EEF3F9"/>
            <w:tcBorders>
              <w:top w:val="single" w:sz="6" w:color="D7E0EA"/>
              <w:left w:val="single" w:sz="6" w:color="D7E0EA"/>
              <w:bottom w:val="single" w:sz="6" w:color="D7E0EA"/>
              <w:right w:val="single" w:sz="6" w:color="D7E0EA"/>
            </w:tcBorders>
            <w:tcMar>
              <w:top w:w="100" w:type="dxa"/>
              <w:start w:w="120" w:type="dxa"/>
              <w:bottom w:w="100" w:type="dxa"/>
              <w:end w:w="120" w:type="dxa"/>
            </w:tcMar>
          </w:tcPr>
          <w:p>
            <w:r>
              <w:rPr>
                <w:rFonts w:ascii="Arial" w:hAnsi="Arial" w:eastAsia="Arial"/>
                <w:b/>
                <w:i w:val="0"/>
                <w:color w:val="1A2B4C"/>
                <w:sz w:val="19"/>
              </w:rPr>
              <w:t>Termen din interfață</w:t>
            </w:r>
          </w:p>
        </w:tc>
        <w:tc>
          <w:tcPr>
            <w:tcW w:type="dxa" w:w="5185"/>
            <w:shd w:fill="EEF3F9"/>
            <w:tcBorders>
              <w:top w:val="single" w:sz="6" w:color="D7E0EA"/>
              <w:left w:val="single" w:sz="6" w:color="D7E0EA"/>
              <w:bottom w:val="single" w:sz="6" w:color="D7E0EA"/>
              <w:right w:val="single" w:sz="6" w:color="D7E0EA"/>
            </w:tcBorders>
            <w:tcMar>
              <w:top w:w="100" w:type="dxa"/>
              <w:start w:w="120" w:type="dxa"/>
              <w:bottom w:w="100" w:type="dxa"/>
              <w:end w:w="120" w:type="dxa"/>
            </w:tcMar>
          </w:tcPr>
          <w:p>
            <w:r>
              <w:rPr>
                <w:rFonts w:ascii="Arial" w:hAnsi="Arial" w:eastAsia="Arial"/>
                <w:b/>
                <w:i w:val="0"/>
                <w:color w:val="1A2B4C"/>
                <w:sz w:val="19"/>
              </w:rPr>
              <w:t>Explicație în română</w:t>
            </w:r>
          </w:p>
        </w:tc>
      </w:tr>
      <w:tr>
        <w:tc>
          <w:tcPr>
            <w:tcW w:type="dxa" w:w="5185"/>
            <w:tcMar>
              <w:top w:w="100" w:type="dxa"/>
              <w:start w:w="120" w:type="dxa"/>
              <w:bottom w:w="100" w:type="dxa"/>
              <w:end w:w="120" w:type="dxa"/>
            </w:tcMar>
            <w:tcBorders>
              <w:top w:val="single" w:sz="6" w:color="D7E0EA"/>
              <w:left w:val="single" w:sz="6" w:color="D7E0EA"/>
              <w:bottom w:val="single" w:sz="6" w:color="D7E0EA"/>
              <w:right w:val="single" w:sz="6" w:color="D7E0EA"/>
            </w:tcBorders>
          </w:tcPr>
          <w:p>
            <w:r>
              <w:rPr>
                <w:rFonts w:ascii="Arial" w:hAnsi="Arial" w:eastAsia="Arial"/>
                <w:b/>
                <w:i w:val="0"/>
                <w:color w:val="1A2B4C"/>
                <w:sz w:val="18"/>
              </w:rPr>
              <w:t>Performance Max</w:t>
            </w:r>
          </w:p>
        </w:tc>
        <w:tc>
          <w:tcPr>
            <w:tcW w:type="dxa" w:w="5185"/>
            <w:tcMar>
              <w:top w:w="100" w:type="dxa"/>
              <w:start w:w="120" w:type="dxa"/>
              <w:bottom w:w="100" w:type="dxa"/>
              <w:end w:w="120" w:type="dxa"/>
            </w:tcMar>
            <w:tcBorders>
              <w:top w:val="single" w:sz="6" w:color="D7E0EA"/>
              <w:left w:val="single" w:sz="6" w:color="D7E0EA"/>
              <w:bottom w:val="single" w:sz="6" w:color="D7E0EA"/>
              <w:right w:val="single" w:sz="6" w:color="D7E0EA"/>
            </w:tcBorders>
          </w:tcPr>
          <w:p>
            <w:r>
              <w:rPr>
                <w:rFonts w:ascii="Arial" w:hAnsi="Arial" w:eastAsia="Arial"/>
                <w:b w:val="0"/>
                <w:i w:val="0"/>
                <w:color w:val="1F2937"/>
                <w:sz w:val="18"/>
              </w:rPr>
              <w:t>Tip de campanie Google Ads bazat pe obiective, care poate utiliza inventarul Google disponibil.</w:t>
            </w:r>
          </w:p>
        </w:tc>
      </w:tr>
      <w:tr>
        <w:tc>
          <w:tcPr>
            <w:tcW w:type="dxa" w:w="5185"/>
            <w:tcMar>
              <w:top w:w="100" w:type="dxa"/>
              <w:start w:w="120" w:type="dxa"/>
              <w:bottom w:w="100" w:type="dxa"/>
              <w:end w:w="120" w:type="dxa"/>
            </w:tcMar>
            <w:tcBorders>
              <w:top w:val="single" w:sz="6" w:color="D7E0EA"/>
              <w:left w:val="single" w:sz="6" w:color="D7E0EA"/>
              <w:bottom w:val="single" w:sz="6" w:color="D7E0EA"/>
              <w:right w:val="single" w:sz="6" w:color="D7E0EA"/>
            </w:tcBorders>
          </w:tcPr>
          <w:p>
            <w:r>
              <w:rPr>
                <w:rFonts w:ascii="Arial" w:hAnsi="Arial" w:eastAsia="Arial"/>
                <w:b/>
                <w:i w:val="0"/>
                <w:color w:val="1A2B4C"/>
                <w:sz w:val="18"/>
              </w:rPr>
              <w:t>Asset Group</w:t>
            </w:r>
          </w:p>
        </w:tc>
        <w:tc>
          <w:tcPr>
            <w:tcW w:type="dxa" w:w="5185"/>
            <w:tcMar>
              <w:top w:w="100" w:type="dxa"/>
              <w:start w:w="120" w:type="dxa"/>
              <w:bottom w:w="100" w:type="dxa"/>
              <w:end w:w="120" w:type="dxa"/>
            </w:tcMar>
            <w:tcBorders>
              <w:top w:val="single" w:sz="6" w:color="D7E0EA"/>
              <w:left w:val="single" w:sz="6" w:color="D7E0EA"/>
              <w:bottom w:val="single" w:sz="6" w:color="D7E0EA"/>
              <w:right w:val="single" w:sz="6" w:color="D7E0EA"/>
            </w:tcBorders>
          </w:tcPr>
          <w:p>
            <w:r>
              <w:rPr>
                <w:rFonts w:ascii="Arial" w:hAnsi="Arial" w:eastAsia="Arial"/>
                <w:b w:val="0"/>
                <w:i w:val="0"/>
                <w:color w:val="1F2937"/>
                <w:sz w:val="18"/>
              </w:rPr>
              <w:t>Grup de active organizat în jurul unei teme, categorii sau pagini de destinație.</w:t>
            </w:r>
          </w:p>
        </w:tc>
      </w:tr>
      <w:tr>
        <w:tc>
          <w:tcPr>
            <w:tcW w:type="dxa" w:w="5185"/>
            <w:tcMar>
              <w:top w:w="100" w:type="dxa"/>
              <w:start w:w="120" w:type="dxa"/>
              <w:bottom w:w="100" w:type="dxa"/>
              <w:end w:w="120" w:type="dxa"/>
            </w:tcMar>
            <w:tcBorders>
              <w:top w:val="single" w:sz="6" w:color="D7E0EA"/>
              <w:left w:val="single" w:sz="6" w:color="D7E0EA"/>
              <w:bottom w:val="single" w:sz="6" w:color="D7E0EA"/>
              <w:right w:val="single" w:sz="6" w:color="D7E0EA"/>
            </w:tcBorders>
          </w:tcPr>
          <w:p>
            <w:r>
              <w:rPr>
                <w:rFonts w:ascii="Arial" w:hAnsi="Arial" w:eastAsia="Arial"/>
                <w:b/>
                <w:i w:val="0"/>
                <w:color w:val="1A2B4C"/>
                <w:sz w:val="18"/>
              </w:rPr>
              <w:t>Audience Signals</w:t>
            </w:r>
          </w:p>
        </w:tc>
        <w:tc>
          <w:tcPr>
            <w:tcW w:type="dxa" w:w="5185"/>
            <w:tcMar>
              <w:top w:w="100" w:type="dxa"/>
              <w:start w:w="120" w:type="dxa"/>
              <w:bottom w:w="100" w:type="dxa"/>
              <w:end w:w="120" w:type="dxa"/>
            </w:tcMar>
            <w:tcBorders>
              <w:top w:val="single" w:sz="6" w:color="D7E0EA"/>
              <w:left w:val="single" w:sz="6" w:color="D7E0EA"/>
              <w:bottom w:val="single" w:sz="6" w:color="D7E0EA"/>
              <w:right w:val="single" w:sz="6" w:color="D7E0EA"/>
            </w:tcBorders>
          </w:tcPr>
          <w:p>
            <w:r>
              <w:rPr>
                <w:rFonts w:ascii="Arial" w:hAnsi="Arial" w:eastAsia="Arial"/>
                <w:b w:val="0"/>
                <w:i w:val="0"/>
                <w:color w:val="1F2937"/>
                <w:sz w:val="18"/>
              </w:rPr>
              <w:t>Semnale oferite sistemului pentru a-l orienta spre tipuri de utilizatori relevanți.</w:t>
            </w:r>
          </w:p>
        </w:tc>
      </w:tr>
      <w:tr>
        <w:tc>
          <w:tcPr>
            <w:tcW w:type="dxa" w:w="5185"/>
            <w:tcMar>
              <w:top w:w="100" w:type="dxa"/>
              <w:start w:w="120" w:type="dxa"/>
              <w:bottom w:w="100" w:type="dxa"/>
              <w:end w:w="120" w:type="dxa"/>
            </w:tcMar>
            <w:tcBorders>
              <w:top w:val="single" w:sz="6" w:color="D7E0EA"/>
              <w:left w:val="single" w:sz="6" w:color="D7E0EA"/>
              <w:bottom w:val="single" w:sz="6" w:color="D7E0EA"/>
              <w:right w:val="single" w:sz="6" w:color="D7E0EA"/>
            </w:tcBorders>
          </w:tcPr>
          <w:p>
            <w:r>
              <w:rPr>
                <w:rFonts w:ascii="Arial" w:hAnsi="Arial" w:eastAsia="Arial"/>
                <w:b/>
                <w:i w:val="0"/>
                <w:color w:val="1A2B4C"/>
                <w:sz w:val="18"/>
              </w:rPr>
              <w:t>Final URL Expansion</w:t>
            </w:r>
          </w:p>
        </w:tc>
        <w:tc>
          <w:tcPr>
            <w:tcW w:type="dxa" w:w="5185"/>
            <w:tcMar>
              <w:top w:w="100" w:type="dxa"/>
              <w:start w:w="120" w:type="dxa"/>
              <w:bottom w:w="100" w:type="dxa"/>
              <w:end w:w="120" w:type="dxa"/>
            </w:tcMar>
            <w:tcBorders>
              <w:top w:val="single" w:sz="6" w:color="D7E0EA"/>
              <w:left w:val="single" w:sz="6" w:color="D7E0EA"/>
              <w:bottom w:val="single" w:sz="6" w:color="D7E0EA"/>
              <w:right w:val="single" w:sz="6" w:color="D7E0EA"/>
            </w:tcBorders>
          </w:tcPr>
          <w:p>
            <w:r>
              <w:rPr>
                <w:rFonts w:ascii="Arial" w:hAnsi="Arial" w:eastAsia="Arial"/>
                <w:b w:val="0"/>
                <w:i w:val="0"/>
                <w:color w:val="1F2937"/>
                <w:sz w:val="18"/>
              </w:rPr>
              <w:t>Setare care poate alege o altă pagină de destinație de pe domeniu, în funcție de intenția estimată.</w:t>
            </w:r>
          </w:p>
        </w:tc>
      </w:tr>
      <w:tr>
        <w:tc>
          <w:tcPr>
            <w:tcW w:type="dxa" w:w="5185"/>
            <w:tcMar>
              <w:top w:w="100" w:type="dxa"/>
              <w:start w:w="120" w:type="dxa"/>
              <w:bottom w:w="100" w:type="dxa"/>
              <w:end w:w="120" w:type="dxa"/>
            </w:tcMar>
            <w:tcBorders>
              <w:top w:val="single" w:sz="6" w:color="D7E0EA"/>
              <w:left w:val="single" w:sz="6" w:color="D7E0EA"/>
              <w:bottom w:val="single" w:sz="6" w:color="D7E0EA"/>
              <w:right w:val="single" w:sz="6" w:color="D7E0EA"/>
            </w:tcBorders>
          </w:tcPr>
          <w:p>
            <w:r>
              <w:rPr>
                <w:rFonts w:ascii="Arial" w:hAnsi="Arial" w:eastAsia="Arial"/>
                <w:b/>
                <w:i w:val="0"/>
                <w:color w:val="1A2B4C"/>
                <w:sz w:val="18"/>
              </w:rPr>
              <w:t>Brand Exclusions</w:t>
            </w:r>
          </w:p>
        </w:tc>
        <w:tc>
          <w:tcPr>
            <w:tcW w:type="dxa" w:w="5185"/>
            <w:tcMar>
              <w:top w:w="100" w:type="dxa"/>
              <w:start w:w="120" w:type="dxa"/>
              <w:bottom w:w="100" w:type="dxa"/>
              <w:end w:w="120" w:type="dxa"/>
            </w:tcMar>
            <w:tcBorders>
              <w:top w:val="single" w:sz="6" w:color="D7E0EA"/>
              <w:left w:val="single" w:sz="6" w:color="D7E0EA"/>
              <w:bottom w:val="single" w:sz="6" w:color="D7E0EA"/>
              <w:right w:val="single" w:sz="6" w:color="D7E0EA"/>
            </w:tcBorders>
          </w:tcPr>
          <w:p>
            <w:r>
              <w:rPr>
                <w:rFonts w:ascii="Arial" w:hAnsi="Arial" w:eastAsia="Arial"/>
                <w:b w:val="0"/>
                <w:i w:val="0"/>
                <w:color w:val="1F2937"/>
                <w:sz w:val="18"/>
              </w:rPr>
              <w:t>Control prin care poți limita folosirea termenilor de brand în funcție de strategia contului.</w:t>
            </w:r>
          </w:p>
        </w:tc>
      </w:tr>
      <w:tr>
        <w:tc>
          <w:tcPr>
            <w:tcW w:type="dxa" w:w="5185"/>
            <w:tcMar>
              <w:top w:w="100" w:type="dxa"/>
              <w:start w:w="120" w:type="dxa"/>
              <w:bottom w:w="100" w:type="dxa"/>
              <w:end w:w="120" w:type="dxa"/>
            </w:tcMar>
            <w:tcBorders>
              <w:top w:val="single" w:sz="6" w:color="D7E0EA"/>
              <w:left w:val="single" w:sz="6" w:color="D7E0EA"/>
              <w:bottom w:val="single" w:sz="6" w:color="D7E0EA"/>
              <w:right w:val="single" w:sz="6" w:color="D7E0EA"/>
            </w:tcBorders>
          </w:tcPr>
          <w:p>
            <w:r>
              <w:rPr>
                <w:rFonts w:ascii="Arial" w:hAnsi="Arial" w:eastAsia="Arial"/>
                <w:b/>
                <w:i w:val="0"/>
                <w:color w:val="1A2B4C"/>
                <w:sz w:val="18"/>
              </w:rPr>
              <w:t>Listing Groups</w:t>
            </w:r>
          </w:p>
        </w:tc>
        <w:tc>
          <w:tcPr>
            <w:tcW w:type="dxa" w:w="5185"/>
            <w:tcMar>
              <w:top w:w="100" w:type="dxa"/>
              <w:start w:w="120" w:type="dxa"/>
              <w:bottom w:w="100" w:type="dxa"/>
              <w:end w:w="120" w:type="dxa"/>
            </w:tcMar>
            <w:tcBorders>
              <w:top w:val="single" w:sz="6" w:color="D7E0EA"/>
              <w:left w:val="single" w:sz="6" w:color="D7E0EA"/>
              <w:bottom w:val="single" w:sz="6" w:color="D7E0EA"/>
              <w:right w:val="single" w:sz="6" w:color="D7E0EA"/>
            </w:tcBorders>
          </w:tcPr>
          <w:p>
            <w:r>
              <w:rPr>
                <w:rFonts w:ascii="Arial" w:hAnsi="Arial" w:eastAsia="Arial"/>
                <w:b w:val="0"/>
                <w:i w:val="0"/>
                <w:color w:val="1F2937"/>
                <w:sz w:val="18"/>
              </w:rPr>
              <w:t>Grupuri de produse selectate pentru campaniile conectate la Merchant Center.</w:t>
            </w:r>
          </w:p>
        </w:tc>
      </w:tr>
    </w:tbl>
    <w:p>
      <w:r>
        <w:rPr>
          <w:rFonts w:ascii="Arial" w:hAnsi="Arial" w:eastAsia="Arial"/>
          <w:b/>
          <w:i w:val="0"/>
          <w:color w:val="1A2B4C"/>
          <w:sz w:val="28"/>
        </w:rPr>
        <w:t>Notă de validare</w:t>
      </w:r>
    </w:p>
    <w:p>
      <w:pPr>
        <w:spacing w:after="140" w:line="283" w:lineRule="auto"/>
      </w:pPr>
      <w:r>
        <w:rPr>
          <w:rFonts w:ascii="Arial" w:hAnsi="Arial" w:eastAsia="Arial"/>
          <w:b w:val="0"/>
          <w:i w:val="0"/>
          <w:color w:val="1F2937"/>
          <w:sz w:val="21"/>
        </w:rPr>
        <w:t>Checklistul este conceput ca un cadru practic, nu ca o rețetă universală. Verifică fiecare punct în raport cu datele contului, modelul de business, piața, disponibilitatea produselor și politica de măsurare. Termenii din interfața Google Ads sunt păstrați în engleză doar unde ajută identificarea setărilor.</w:t>
      </w:r>
    </w:p>
    <w:p>
      <w:r>
        <w:rPr>
          <w:rFonts w:ascii="Arial" w:hAnsi="Arial" w:eastAsia="Arial"/>
          <w:b/>
          <w:i w:val="0"/>
          <w:color w:val="1A2B4C"/>
          <w:sz w:val="28"/>
        </w:rPr>
        <w:t>Surse de referință</w:t>
      </w:r>
    </w:p>
    <w:p>
      <w:pPr>
        <w:pStyle w:val="ListBullet"/>
        <w:spacing w:after="80"/>
      </w:pPr>
      <w:r>
        <w:rPr>
          <w:rFonts w:ascii="Arial" w:hAnsi="Arial" w:eastAsia="Arial"/>
          <w:b/>
          <w:i w:val="0"/>
          <w:color w:val="1A2B4C"/>
          <w:sz w:val="21"/>
        </w:rPr>
      </w:r>
      <w:r>
        <w:rPr>
          <w:rFonts w:ascii="Arial" w:hAnsi="Arial" w:eastAsia="Arial"/>
          <w:b w:val="0"/>
          <w:i w:val="0"/>
          <w:color w:val="1F2937"/>
          <w:sz w:val="21"/>
        </w:rPr>
        <w:t>Google Ads Help - Create a Performance Max campaign: https://support.google.com/google-ads/answer/10724896</w:t>
      </w:r>
    </w:p>
    <w:p>
      <w:pPr>
        <w:pStyle w:val="ListBullet"/>
        <w:spacing w:after="80"/>
      </w:pPr>
      <w:r>
        <w:rPr>
          <w:rFonts w:ascii="Arial" w:hAnsi="Arial" w:eastAsia="Arial"/>
          <w:b/>
          <w:i w:val="0"/>
          <w:color w:val="1A2B4C"/>
          <w:sz w:val="21"/>
        </w:rPr>
      </w:r>
      <w:r>
        <w:rPr>
          <w:rFonts w:ascii="Arial" w:hAnsi="Arial" w:eastAsia="Arial"/>
          <w:b w:val="0"/>
          <w:i w:val="0"/>
          <w:color w:val="1F2937"/>
          <w:sz w:val="21"/>
        </w:rPr>
        <w:t>Google Ads Help - About Performance Max campaigns: https://support.google.com/google-ads/answer/10724817</w:t>
      </w:r>
    </w:p>
    <w:p>
      <w:pPr>
        <w:pStyle w:val="ListBullet"/>
        <w:spacing w:after="80"/>
      </w:pPr>
      <w:r>
        <w:rPr>
          <w:rFonts w:ascii="Arial" w:hAnsi="Arial" w:eastAsia="Arial"/>
          <w:b/>
          <w:i w:val="0"/>
          <w:color w:val="1A2B4C"/>
          <w:sz w:val="21"/>
        </w:rPr>
      </w:r>
      <w:r>
        <w:rPr>
          <w:rFonts w:ascii="Arial" w:hAnsi="Arial" w:eastAsia="Arial"/>
          <w:b w:val="0"/>
          <w:i w:val="0"/>
          <w:color w:val="1F2937"/>
          <w:sz w:val="21"/>
        </w:rPr>
        <w:t>Google Ads Help - About Final URL expansion in Performance Max: https://support.google.com/google-ads/answer/14337539</w:t>
      </w:r>
    </w:p>
    <w:sectPr w:rsidR="00FC693F" w:rsidRPr="0006063C" w:rsidSect="00034616">
      <w:footerReference w:type="default" r:id="rId10"/>
      <w:pgSz w:w="12240" w:h="15840"/>
      <w:pgMar w:top="822" w:right="935" w:bottom="822" w:left="935"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rFonts w:ascii="Arial" w:hAnsi="Arial" w:eastAsia="Arial"/>
        <w:b w:val="0"/>
        <w:i w:val="0"/>
        <w:color w:val="64748B"/>
        <w:sz w:val="16"/>
      </w:rPr>
      <w:t>Creat de Pascal Răzvan | pascalrazvan.ro | Resursă educațională</w:t>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Arial" w:hAnsi="Arial" w:eastAsia="Arial"/>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image" Target="media/image1.png"/><Relationship Id="rId10"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