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20" w:after="60"/>
      </w:pPr>
      <w:r>
        <w:rPr>
          <w:rFonts w:ascii="Aptos Display" w:hAnsi="Aptos Display" w:eastAsia="Aptos Display"/>
          <w:b/>
          <w:color w:val="1D2F50"/>
          <w:sz w:val="42"/>
        </w:rPr>
        <w:t>Ghid tehnic pentru implementarea Data Layer</w:t>
      </w:r>
    </w:p>
    <w:p>
      <w:pPr>
        <w:spacing w:after="260"/>
      </w:pPr>
      <w:r>
        <w:rPr>
          <w:rFonts w:ascii="Aptos" w:hAnsi="Aptos" w:eastAsia="Aptos"/>
          <w:color w:val="677386"/>
          <w:sz w:val="20"/>
        </w:rPr>
        <w:t>GA4, Google Tag Manager și Google Ads | Predare către dezvoltator</w:t>
      </w:r>
    </w:p>
    <w:tbl>
      <w:tblPr>
        <w:tblW w:type="auto" w:w="0"/>
        <w:jc w:val="center"/>
        <w:tblLayout w:type="autofit"/>
        <w:tblLook w:firstColumn="1" w:firstRow="1" w:lastColumn="0" w:lastRow="0" w:noHBand="0" w:noVBand="1" w:val="04A0"/>
      </w:tblPr>
      <w:tblGrid>
        <w:gridCol w:w="10454"/>
      </w:tblGrid>
      <w:tr>
        <w:tc>
          <w:tcPr>
            <w:tcW w:type="dxa" w:w="10454"/>
            <w:shd w:fill="FFF7E6" w:val="clear"/>
            <w:tcBorders>
              <w:top w:val="single" w:sz="12" w:space="0" w:color="D69B2D"/>
              <w:left w:val="single" w:sz="12" w:space="0" w:color="D69B2D"/>
              <w:bottom w:val="single" w:sz="12" w:space="0" w:color="D69B2D"/>
              <w:right w:val="single" w:sz="12" w:space="0" w:color="D69B2D"/>
            </w:tcBorders>
            <w:tcMar>
              <w:top w:w="120" w:type="dxa"/>
              <w:start w:w="160" w:type="dxa"/>
              <w:bottom w:w="120" w:type="dxa"/>
              <w:end w:w="160" w:type="dxa"/>
            </w:tcMar>
          </w:tcPr>
          <w:p>
            <w:pPr>
              <w:spacing w:after="80" w:line="259" w:lineRule="auto"/>
            </w:pPr>
            <w:r/>
            <w:r>
              <w:rPr>
                <w:rFonts w:ascii="Aptos" w:hAnsi="Aptos" w:eastAsia="Aptos"/>
                <w:b/>
                <w:color w:val="1D2F50"/>
                <w:sz w:val="18"/>
              </w:rPr>
              <w:t xml:space="preserve">Cum se utilizează: </w:t>
            </w:r>
            <w:r>
              <w:rPr>
                <w:rFonts w:ascii="Aptos" w:hAnsi="Aptos" w:eastAsia="Aptos"/>
                <w:b w:val="0"/>
                <w:color w:val="1E2430"/>
                <w:sz w:val="18"/>
              </w:rPr>
              <w:t>Documentul descrie ce trebuie implementat, de ce este necesar și cum se verifică rezultatul. Denumirile de evenimente și parametri sunt păstrate în engleză, exact ca identificatori tehnici. Nu sunt incluse, create sau modificate fragmente de cod.</w:t>
            </w:r>
          </w:p>
        </w:tc>
      </w:tr>
    </w:tbl>
    <w:p>
      <w:pPr>
        <w:spacing w:after="0"/>
      </w:pPr>
    </w:p>
    <w:p>
      <w:pPr>
        <w:spacing w:after="100" w:line="259" w:lineRule="auto"/>
      </w:pPr>
      <w:r>
        <w:rPr>
          <w:rFonts w:ascii="Aptos" w:hAnsi="Aptos" w:eastAsia="Aptos"/>
          <w:b w:val="0"/>
          <w:color w:val="1E2430"/>
          <w:sz w:val="19"/>
        </w:rPr>
        <w:t xml:space="preserve">Acest ghid consolidează cerințele de </w:t>
      </w:r>
      <w:r>
        <w:rPr>
          <w:rFonts w:ascii="Consolas" w:hAnsi="Consolas" w:eastAsia="Consolas"/>
          <w:b w:val="0"/>
          <w:color w:val="1E2430"/>
          <w:sz w:val="19"/>
        </w:rPr>
        <w:t>dataLayer</w:t>
      </w:r>
      <w:r>
        <w:rPr>
          <w:rFonts w:ascii="Aptos" w:hAnsi="Aptos" w:eastAsia="Aptos"/>
          <w:b w:val="0"/>
          <w:color w:val="1E2430"/>
          <w:sz w:val="19"/>
        </w:rPr>
        <w:t xml:space="preserve"> din materialele de referință pentru e-commerce și lead generation. Este destinat programatorului sau agenției care administrează website-ul, indiferent dacă platforma este WordPress/WooCommerce, Magento/Adobe Commerce sau o aplicație custom. Specificația tehnică detaliată, câmp cu câmp, se regăsește în fișierul Excel livrat împreună cu acest document. [1] [2] [3]</w:t>
      </w:r>
    </w:p>
    <w:p>
      <w:pPr>
        <w:pStyle w:val="Heading1"/>
        <w:spacing w:before="200" w:after="80"/>
      </w:pPr>
      <w:r>
        <w:t>1. Obiectivul implementării</w:t>
      </w:r>
    </w:p>
    <w:p>
      <w:pPr>
        <w:spacing w:after="100" w:line="259" w:lineRule="auto"/>
      </w:pPr>
      <w:r>
        <w:rPr>
          <w:rFonts w:ascii="Aptos" w:hAnsi="Aptos" w:eastAsia="Aptos"/>
          <w:b w:val="0"/>
          <w:color w:val="1E2430"/>
          <w:sz w:val="19"/>
        </w:rPr>
        <w:t>Implementarea are rolul de a transmite, într-o structură consecventă, acțiunile relevante ale utilizatorului către Google Tag Manager și apoi către platformele de măsurare configurate. Pentru e-commerce, fluxul urmărește interacțiunea cu produsele, coșul și checkout-ul, până la comanda confirmată. Pentru lead generation, fluxul urmărește trimiterea reușită a formularului. Evenimentele și parametrii trebuie să fie populați din date reale ale platformei, nu din valori statice sau de test. [1]</w:t>
      </w:r>
    </w:p>
    <w:tbl>
      <w:tblPr>
        <w:tblStyle w:val="TableGrid"/>
        <w:tblW w:type="auto" w:w="0"/>
        <w:jc w:val="center"/>
        <w:tblLayout w:type="fixed"/>
        <w:tblLook w:firstColumn="1" w:firstRow="1" w:lastColumn="0" w:lastRow="0" w:noHBand="0" w:noVBand="1" w:val="04A0"/>
      </w:tblPr>
      <w:tblGrid>
        <w:gridCol w:w="5227"/>
        <w:gridCol w:w="5227"/>
      </w:tblGrid>
      <w:tr>
        <w:trPr>
          <w:tblHeader w:val="true"/>
        </w:trPr>
        <w:tc>
          <w:tcPr>
            <w:tcW w:type="dxa" w:w="2376"/>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Termen</w:t>
            </w:r>
          </w:p>
        </w:tc>
        <w:tc>
          <w:tcPr>
            <w:tcW w:type="dxa" w:w="720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Înțeles operațional</w:t>
            </w:r>
          </w:p>
        </w:tc>
      </w:tr>
      <w:tr>
        <w:tc>
          <w:tcPr>
            <w:tcW w:type="dxa" w:w="23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7"/>
              </w:rPr>
              <w:t>dataLayer</w:t>
            </w:r>
          </w:p>
        </w:tc>
        <w:tc>
          <w:tcPr>
            <w:tcW w:type="dxa" w:w="72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7"/>
              </w:rPr>
              <w:t>Obiectul prin care website-ul pune la dispoziție date dinamice pentru tag manager. Este interfața dintre platformă și configurația de tracking.</w:t>
            </w:r>
          </w:p>
        </w:tc>
      </w:tr>
      <w:tr>
        <w:tc>
          <w:tcPr>
            <w:tcW w:type="dxa" w:w="23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7"/>
              </w:rPr>
              <w:t>event</w:t>
            </w:r>
          </w:p>
        </w:tc>
        <w:tc>
          <w:tcPr>
            <w:tcW w:type="dxa" w:w="720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7"/>
              </w:rPr>
              <w:t>Denumirea tehnică a acțiunii transmise. Denumirea trebuie să corespundă configurației existente din Google Tag Manager.</w:t>
            </w:r>
          </w:p>
        </w:tc>
      </w:tr>
      <w:tr>
        <w:tc>
          <w:tcPr>
            <w:tcW w:type="dxa" w:w="23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7"/>
              </w:rPr>
              <w:t>ecommerce</w:t>
            </w:r>
          </w:p>
        </w:tc>
        <w:tc>
          <w:tcPr>
            <w:tcW w:type="dxa" w:w="72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7"/>
              </w:rPr>
              <w:t>Obiectul care conține detaliile tranzacției, coșului sau produselor pentru evenimentele de e-commerce.</w:t>
            </w:r>
          </w:p>
        </w:tc>
      </w:tr>
      <w:tr>
        <w:tc>
          <w:tcPr>
            <w:tcW w:type="dxa" w:w="23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7"/>
              </w:rPr>
              <w:t>items[]</w:t>
            </w:r>
          </w:p>
        </w:tc>
        <w:tc>
          <w:tcPr>
            <w:tcW w:type="dxa" w:w="720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7"/>
              </w:rPr>
              <w:t>Lista produselor relevante pentru eveniment. Fiecare element reprezintă un produs și are propriile atribute tehnice.</w:t>
            </w:r>
          </w:p>
        </w:tc>
      </w:tr>
      <w:tr>
        <w:tc>
          <w:tcPr>
            <w:tcW w:type="dxa" w:w="23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7"/>
              </w:rPr>
              <w:t>transaction_id</w:t>
            </w:r>
          </w:p>
        </w:tc>
        <w:tc>
          <w:tcPr>
            <w:tcW w:type="dxa" w:w="72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7"/>
              </w:rPr>
              <w:t>Identificator unic și stabil al comenzii sau conversiei; este necesar pentru controlul dublării conversiilor.</w:t>
            </w:r>
          </w:p>
        </w:tc>
      </w:tr>
    </w:tbl>
    <w:p>
      <w:pPr>
        <w:spacing w:after="0"/>
      </w:pPr>
    </w:p>
    <w:p>
      <w:pPr>
        <w:pStyle w:val="Heading1"/>
        <w:spacing w:before="200" w:after="80"/>
      </w:pPr>
      <w:r>
        <w:t>2. Limite, reguli și mod de lucru</w:t>
      </w:r>
    </w:p>
    <w:p>
      <w:pPr>
        <w:spacing w:after="100" w:line="259" w:lineRule="auto"/>
      </w:pPr>
      <w:r>
        <w:rPr>
          <w:rFonts w:ascii="Aptos" w:hAnsi="Aptos" w:eastAsia="Aptos"/>
          <w:b w:val="0"/>
          <w:color w:val="1E2430"/>
          <w:sz w:val="19"/>
        </w:rPr>
        <w:t xml:space="preserve">Dezvoltatorul trebuie să păstreze denumirile tehnice existente precum </w:t>
      </w:r>
      <w:r>
        <w:rPr>
          <w:rFonts w:ascii="Consolas" w:hAnsi="Consolas" w:eastAsia="Consolas"/>
          <w:b w:val="0"/>
          <w:color w:val="1E2430"/>
          <w:sz w:val="19"/>
        </w:rPr>
        <w:t>purchase</w:t>
      </w:r>
      <w:r>
        <w:rPr>
          <w:rFonts w:ascii="Aptos" w:hAnsi="Aptos" w:eastAsia="Aptos"/>
          <w:b w:val="0"/>
          <w:color w:val="1E2430"/>
          <w:sz w:val="19"/>
        </w:rPr>
        <w:t xml:space="preserve">, </w:t>
      </w:r>
      <w:r>
        <w:rPr>
          <w:rFonts w:ascii="Consolas" w:hAnsi="Consolas" w:eastAsia="Consolas"/>
          <w:b w:val="0"/>
          <w:color w:val="1E2430"/>
          <w:sz w:val="19"/>
        </w:rPr>
        <w:t>generate_lead</w:t>
      </w:r>
      <w:r>
        <w:rPr>
          <w:rFonts w:ascii="Aptos" w:hAnsi="Aptos" w:eastAsia="Aptos"/>
          <w:b w:val="0"/>
          <w:color w:val="1E2430"/>
          <w:sz w:val="19"/>
        </w:rPr>
        <w:t xml:space="preserve">, </w:t>
      </w:r>
      <w:r>
        <w:rPr>
          <w:rFonts w:ascii="Consolas" w:hAnsi="Consolas" w:eastAsia="Consolas"/>
          <w:b w:val="0"/>
          <w:color w:val="1E2430"/>
          <w:sz w:val="19"/>
        </w:rPr>
        <w:t>item_id</w:t>
      </w:r>
      <w:r>
        <w:rPr>
          <w:rFonts w:ascii="Aptos" w:hAnsi="Aptos" w:eastAsia="Aptos"/>
          <w:b w:val="0"/>
          <w:color w:val="1E2430"/>
          <w:sz w:val="19"/>
        </w:rPr>
        <w:t xml:space="preserve"> sau </w:t>
      </w:r>
      <w:r>
        <w:rPr>
          <w:rFonts w:ascii="Consolas" w:hAnsi="Consolas" w:eastAsia="Consolas"/>
          <w:b w:val="0"/>
          <w:color w:val="1E2430"/>
          <w:sz w:val="19"/>
        </w:rPr>
        <w:t>transaction_id</w:t>
      </w:r>
      <w:r>
        <w:rPr>
          <w:rFonts w:ascii="Aptos" w:hAnsi="Aptos" w:eastAsia="Aptos"/>
          <w:b w:val="0"/>
          <w:color w:val="1E2430"/>
          <w:sz w:val="19"/>
        </w:rPr>
        <w:t>. Explicațiile din acest document sunt în română, însă identificatorii tehnici nu se traduc. Se implementează doar evenimentele aplicabile tipului de website: un magazin online are nevoie de traseul e-commerce, iar un site de servicii fără comandă online are nevoie în principal de fluxul de lead generation.</w:t>
      </w:r>
    </w:p>
    <w:tbl>
      <w:tblPr>
        <w:tblStyle w:val="TableGrid"/>
        <w:tblW w:type="auto" w:w="0"/>
        <w:jc w:val="center"/>
        <w:tblLayout w:type="fixed"/>
        <w:tblLook w:firstColumn="1" w:firstRow="1" w:lastColumn="0" w:lastRow="0" w:noHBand="0" w:noVBand="1" w:val="04A0"/>
      </w:tblPr>
      <w:tblGrid>
        <w:gridCol w:w="3485"/>
        <w:gridCol w:w="3485"/>
        <w:gridCol w:w="3485"/>
      </w:tblGrid>
      <w:tr>
        <w:trPr>
          <w:tblHeader w:val="true"/>
        </w:trPr>
        <w:tc>
          <w:tcPr>
            <w:tcW w:type="dxa" w:w="187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Regulă</w:t>
            </w:r>
          </w:p>
        </w:tc>
        <w:tc>
          <w:tcPr>
            <w:tcW w:type="dxa" w:w="3671"/>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De ce este necesară</w:t>
            </w:r>
          </w:p>
        </w:tc>
        <w:tc>
          <w:tcPr>
            <w:tcW w:type="dxa" w:w="4031"/>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Acțiune așteptată de la programator</w:t>
            </w:r>
          </w:p>
        </w:tc>
      </w:tr>
      <w:tr>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O singură cale de emitere</w:t>
            </w:r>
          </w:p>
        </w:tc>
        <w:tc>
          <w:tcPr>
            <w:tcW w:type="dxa" w:w="367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Două implementări paralele pentru aceeași conversie pot dubla raportarea.</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 xml:space="preserve">Se păstrează abordarea existentă: </w:t>
            </w:r>
            <w:r>
              <w:rPr>
                <w:rFonts w:ascii="Consolas" w:hAnsi="Consolas" w:eastAsia="Consolas"/>
                <w:b w:val="0"/>
                <w:color w:val="1E2430"/>
                <w:sz w:val="16"/>
              </w:rPr>
              <w:t>dataLayer</w:t>
            </w:r>
            <w:r>
              <w:rPr>
                <w:rFonts w:ascii="Aptos" w:hAnsi="Aptos" w:eastAsia="Aptos"/>
                <w:b w:val="0"/>
                <w:color w:val="1E2430"/>
                <w:sz w:val="16"/>
              </w:rPr>
              <w:t xml:space="preserve"> pentru Google Tag Manager sau </w:t>
            </w:r>
            <w:r>
              <w:rPr>
                <w:rFonts w:ascii="Consolas" w:hAnsi="Consolas" w:eastAsia="Consolas"/>
                <w:b w:val="0"/>
                <w:color w:val="1E2430"/>
                <w:sz w:val="16"/>
              </w:rPr>
              <w:t>gtag</w:t>
            </w:r>
            <w:r>
              <w:rPr>
                <w:rFonts w:ascii="Aptos" w:hAnsi="Aptos" w:eastAsia="Aptos"/>
                <w:b w:val="0"/>
                <w:color w:val="1E2430"/>
                <w:sz w:val="16"/>
              </w:rPr>
              <w:t xml:space="preserve"> direct, conform configurației actuale. Nu se emit două conversii pentru aceeași acțiune.</w:t>
            </w:r>
          </w:p>
        </w:tc>
      </w:tr>
      <w:tr>
        <w:tc>
          <w:tcPr>
            <w:tcW w:type="dxa" w:w="187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Date dinamice</w:t>
            </w:r>
          </w:p>
        </w:tc>
        <w:tc>
          <w:tcPr>
            <w:tcW w:type="dxa" w:w="367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Comenzile, produsele, costurile și datele de contact diferă la fiecare utilizator.</w:t>
            </w:r>
          </w:p>
        </w:tc>
        <w:tc>
          <w:tcPr>
            <w:tcW w:type="dxa" w:w="403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Se leagă fiecare câmp de obiectele reale ale platformei: comandă, client, produs, coș și formular. Nu se lasă valori de exemplu sau valori hardcodate.</w:t>
            </w:r>
          </w:p>
        </w:tc>
      </w:tr>
      <w:tr>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Moment corect</w:t>
            </w:r>
          </w:p>
        </w:tc>
        <w:tc>
          <w:tcPr>
            <w:tcW w:type="dxa" w:w="367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Un eveniment trimis înainte ca acțiunea să reușească produce date false.</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 xml:space="preserve">Evenimentele de coș se emit după confirmarea actualizării; </w:t>
            </w:r>
            <w:r>
              <w:rPr>
                <w:rFonts w:ascii="Consolas" w:hAnsi="Consolas" w:eastAsia="Consolas"/>
                <w:b w:val="0"/>
                <w:color w:val="1E2430"/>
                <w:sz w:val="16"/>
              </w:rPr>
              <w:t>purchase</w:t>
            </w:r>
            <w:r>
              <w:rPr>
                <w:rFonts w:ascii="Aptos" w:hAnsi="Aptos" w:eastAsia="Aptos"/>
                <w:b w:val="0"/>
                <w:color w:val="1E2430"/>
                <w:sz w:val="16"/>
              </w:rPr>
              <w:t xml:space="preserve"> se emite doar după confirmarea comenzii; </w:t>
            </w:r>
            <w:r>
              <w:rPr>
                <w:rFonts w:ascii="Consolas" w:hAnsi="Consolas" w:eastAsia="Consolas"/>
                <w:b w:val="0"/>
                <w:color w:val="1E2430"/>
                <w:sz w:val="16"/>
              </w:rPr>
              <w:t>generate_lead</w:t>
            </w:r>
            <w:r>
              <w:rPr>
                <w:rFonts w:ascii="Aptos" w:hAnsi="Aptos" w:eastAsia="Aptos"/>
                <w:b w:val="0"/>
                <w:color w:val="1E2430"/>
                <w:sz w:val="16"/>
              </w:rPr>
              <w:t xml:space="preserve"> se emite după trimiterea reușită a formularului.</w:t>
            </w:r>
          </w:p>
        </w:tc>
      </w:tr>
      <w:tr>
        <w:tc>
          <w:tcPr>
            <w:tcW w:type="dxa" w:w="187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Date izolate per eveniment</w:t>
            </w:r>
          </w:p>
        </w:tc>
        <w:tc>
          <w:tcPr>
            <w:tcW w:type="dxa" w:w="367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Datele de e-commerce rămase dintr-o acțiune precedentă pot fi reutilizate greșit.</w:t>
            </w:r>
          </w:p>
        </w:tc>
        <w:tc>
          <w:tcPr>
            <w:tcW w:type="dxa" w:w="403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 xml:space="preserve">Înaintea fiecărui eveniment e-commerce se curăță obiectul </w:t>
            </w:r>
            <w:r>
              <w:rPr>
                <w:rFonts w:ascii="Consolas" w:hAnsi="Consolas" w:eastAsia="Consolas"/>
                <w:b w:val="0"/>
                <w:color w:val="1E2430"/>
                <w:sz w:val="16"/>
              </w:rPr>
              <w:t>ecommerce</w:t>
            </w:r>
            <w:r>
              <w:rPr>
                <w:rFonts w:ascii="Aptos" w:hAnsi="Aptos" w:eastAsia="Aptos"/>
                <w:b w:val="0"/>
                <w:color w:val="1E2430"/>
                <w:sz w:val="16"/>
              </w:rPr>
              <w:t>, conform modelului din fișierul sursă. [1]</w:t>
            </w:r>
          </w:p>
        </w:tc>
      </w:tr>
      <w:tr>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Date personale controlate</w:t>
            </w:r>
          </w:p>
        </w:tc>
        <w:tc>
          <w:tcPr>
            <w:tcW w:type="dxa" w:w="367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Datele de contact sunt date ale utilizatorului și nu trebuie introduse în cod static.</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Se trimit doar valori dinamice disponibile după obținerea consimțământului aplicabil și se validează configurația de consent existentă împreună cu responsabilul de conformitate.</w:t>
            </w:r>
          </w:p>
        </w:tc>
      </w:tr>
    </w:tbl>
    <w:p>
      <w:pPr>
        <w:spacing w:after="0"/>
      </w:pPr>
    </w:p>
    <w:p>
      <w:pPr>
        <w:pStyle w:val="Heading1"/>
        <w:spacing w:before="200" w:after="80"/>
      </w:pPr>
      <w:r>
        <w:t>3. Pregătirea înainte de implementare</w:t>
      </w:r>
    </w:p>
    <w:p>
      <w:pPr>
        <w:spacing w:after="100" w:line="259" w:lineRule="auto"/>
      </w:pPr>
      <w:r>
        <w:rPr>
          <w:rFonts w:ascii="Aptos" w:hAnsi="Aptos" w:eastAsia="Aptos"/>
          <w:b w:val="0"/>
          <w:color w:val="1E2430"/>
          <w:sz w:val="19"/>
        </w:rPr>
        <w:t xml:space="preserve">Înainte de orice modificare, dezvoltatorul trebuie să inventarieze implementarea actuală. Se verifică dacă website-ul are deja Google Tag Manager, tag-uri </w:t>
      </w:r>
      <w:r>
        <w:rPr>
          <w:rFonts w:ascii="Consolas" w:hAnsi="Consolas" w:eastAsia="Consolas"/>
          <w:b w:val="0"/>
          <w:color w:val="1E2430"/>
          <w:sz w:val="19"/>
        </w:rPr>
        <w:t>gtag</w:t>
      </w:r>
      <w:r>
        <w:rPr>
          <w:rFonts w:ascii="Aptos" w:hAnsi="Aptos" w:eastAsia="Aptos"/>
          <w:b w:val="0"/>
          <w:color w:val="1E2430"/>
          <w:sz w:val="19"/>
        </w:rPr>
        <w:t>, plugin de tracking, extensie de e-commerce sau scripturi injectate de o agenție. Scopul este să nu se suprapună evenimentele noi peste un flux existent.</w:t>
      </w:r>
    </w:p>
    <w:tbl>
      <w:tblPr>
        <w:tblStyle w:val="TableGrid"/>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864"/>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Pas</w:t>
            </w:r>
          </w:p>
        </w:tc>
        <w:tc>
          <w:tcPr>
            <w:tcW w:type="dxa" w:w="3024"/>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Ce se verifică</w:t>
            </w:r>
          </w:p>
        </w:tc>
        <w:tc>
          <w:tcPr>
            <w:tcW w:type="dxa" w:w="352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De ce</w:t>
            </w:r>
          </w:p>
        </w:tc>
        <w:tc>
          <w:tcPr>
            <w:tcW w:type="dxa" w:w="216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Rezultat de predat</w:t>
            </w:r>
          </w:p>
        </w:tc>
      </w:tr>
      <w:tr>
        <w:tc>
          <w:tcPr>
            <w:tcW w:type="dxa" w:w="86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3.1</w:t>
            </w:r>
          </w:p>
        </w:tc>
        <w:tc>
          <w:tcPr>
            <w:tcW w:type="dxa" w:w="302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Containerul Google Tag Manager și/sau tag-ul Google existent.</w:t>
            </w:r>
          </w:p>
        </w:tc>
        <w:tc>
          <w:tcPr>
            <w:tcW w:type="dxa" w:w="35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Definește unde trebuie livrate datele și previne implementarea duplicată.</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Confirmarea metodei: </w:t>
            </w:r>
            <w:r>
              <w:rPr>
                <w:rFonts w:ascii="Consolas" w:hAnsi="Consolas" w:eastAsia="Consolas"/>
                <w:b w:val="0"/>
                <w:color w:val="1E2430"/>
                <w:sz w:val="15"/>
              </w:rPr>
              <w:t>dataLayer</w:t>
            </w:r>
            <w:r>
              <w:rPr>
                <w:rFonts w:ascii="Aptos" w:hAnsi="Aptos" w:eastAsia="Aptos"/>
                <w:b w:val="0"/>
                <w:color w:val="1E2430"/>
                <w:sz w:val="15"/>
              </w:rPr>
              <w:t xml:space="preserve"> prin GTM sau </w:t>
            </w:r>
            <w:r>
              <w:rPr>
                <w:rFonts w:ascii="Consolas" w:hAnsi="Consolas" w:eastAsia="Consolas"/>
                <w:b w:val="0"/>
                <w:color w:val="1E2430"/>
                <w:sz w:val="15"/>
              </w:rPr>
              <w:t>gtag</w:t>
            </w:r>
            <w:r>
              <w:rPr>
                <w:rFonts w:ascii="Aptos" w:hAnsi="Aptos" w:eastAsia="Aptos"/>
                <w:b w:val="0"/>
                <w:color w:val="1E2430"/>
                <w:sz w:val="15"/>
              </w:rPr>
              <w:t xml:space="preserve"> direct.</w:t>
            </w:r>
          </w:p>
        </w:tc>
      </w:tr>
      <w:tr>
        <w:tc>
          <w:tcPr>
            <w:tcW w:type="dxa" w:w="86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3.2</w:t>
            </w:r>
          </w:p>
        </w:tc>
        <w:tc>
          <w:tcPr>
            <w:tcW w:type="dxa" w:w="302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Sursa de adevăr pentru comandă, produs, coș și formular.</w:t>
            </w:r>
          </w:p>
        </w:tc>
        <w:tc>
          <w:tcPr>
            <w:tcW w:type="dxa" w:w="35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Fiecare valoare trebuie extrasă din date reale și în același format de fiecare dată.</w:t>
            </w:r>
          </w:p>
        </w:tc>
        <w:tc>
          <w:tcPr>
            <w:tcW w:type="dxa" w:w="216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Mapare între câmpurile platformei și coloana „Sursă de date” din Excel.</w:t>
            </w:r>
          </w:p>
        </w:tc>
      </w:tr>
      <w:tr>
        <w:tc>
          <w:tcPr>
            <w:tcW w:type="dxa" w:w="86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3.3</w:t>
            </w:r>
          </w:p>
        </w:tc>
        <w:tc>
          <w:tcPr>
            <w:tcW w:type="dxa" w:w="302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Feed-ul de produse și identificatorul utilizat în Merchant Center, dacă există remarketing dinamic.</w:t>
            </w:r>
          </w:p>
        </w:tc>
        <w:tc>
          <w:tcPr>
            <w:tcW w:type="dxa" w:w="35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Valorile </w:t>
            </w:r>
            <w:r>
              <w:rPr>
                <w:rFonts w:ascii="Consolas" w:hAnsi="Consolas" w:eastAsia="Consolas"/>
                <w:b w:val="0"/>
                <w:color w:val="1E2430"/>
                <w:sz w:val="15"/>
              </w:rPr>
              <w:t>id</w:t>
            </w:r>
            <w:r>
              <w:rPr>
                <w:rFonts w:ascii="Aptos" w:hAnsi="Aptos" w:eastAsia="Aptos"/>
                <w:b w:val="0"/>
                <w:color w:val="1E2430"/>
                <w:sz w:val="15"/>
              </w:rPr>
              <w:t xml:space="preserve"> și </w:t>
            </w:r>
            <w:r>
              <w:rPr>
                <w:rFonts w:ascii="Consolas" w:hAnsi="Consolas" w:eastAsia="Consolas"/>
                <w:b w:val="0"/>
                <w:color w:val="1E2430"/>
                <w:sz w:val="15"/>
              </w:rPr>
              <w:t>item_id</w:t>
            </w:r>
            <w:r>
              <w:rPr>
                <w:rFonts w:ascii="Aptos" w:hAnsi="Aptos" w:eastAsia="Aptos"/>
                <w:b w:val="0"/>
                <w:color w:val="1E2430"/>
                <w:sz w:val="15"/>
              </w:rPr>
              <w:t xml:space="preserve"> trebuie să poată fi corelate cu identificatorul produsului din feed. [2]</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Confirmarea identificatorului acceptat: SKU, MPN sau ID-ul agreat în feed.</w:t>
            </w:r>
          </w:p>
        </w:tc>
      </w:tr>
      <w:tr>
        <w:tc>
          <w:tcPr>
            <w:tcW w:type="dxa" w:w="86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3.4</w:t>
            </w:r>
          </w:p>
        </w:tc>
        <w:tc>
          <w:tcPr>
            <w:tcW w:type="dxa" w:w="302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Pagina de confirmare comandă și fluxurile AJAX / SPA.</w:t>
            </w:r>
          </w:p>
        </w:tc>
        <w:tc>
          <w:tcPr>
            <w:tcW w:type="dxa" w:w="35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O reîncărcare de pagină sau o tranziție de state poate retrimite conversia.</w:t>
            </w:r>
          </w:p>
        </w:tc>
        <w:tc>
          <w:tcPr>
            <w:tcW w:type="dxa" w:w="216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Regula exactă prin care </w:t>
            </w:r>
            <w:r>
              <w:rPr>
                <w:rFonts w:ascii="Consolas" w:hAnsi="Consolas" w:eastAsia="Consolas"/>
                <w:b w:val="0"/>
                <w:color w:val="1E2430"/>
                <w:sz w:val="15"/>
              </w:rPr>
              <w:t>purchase</w:t>
            </w:r>
            <w:r>
              <w:rPr>
                <w:rFonts w:ascii="Aptos" w:hAnsi="Aptos" w:eastAsia="Aptos"/>
                <w:b w:val="0"/>
                <w:color w:val="1E2430"/>
                <w:sz w:val="15"/>
              </w:rPr>
              <w:t xml:space="preserve"> se emite o singură dată pentru fiecare </w:t>
            </w:r>
            <w:r>
              <w:rPr>
                <w:rFonts w:ascii="Consolas" w:hAnsi="Consolas" w:eastAsia="Consolas"/>
                <w:b w:val="0"/>
                <w:color w:val="1E2430"/>
                <w:sz w:val="15"/>
              </w:rPr>
              <w:t>transaction_id</w:t>
            </w:r>
            <w:r>
              <w:rPr>
                <w:rFonts w:ascii="Aptos" w:hAnsi="Aptos" w:eastAsia="Aptos"/>
                <w:b w:val="0"/>
                <w:color w:val="1E2430"/>
                <w:sz w:val="15"/>
              </w:rPr>
              <w:t>.</w:t>
            </w:r>
          </w:p>
        </w:tc>
      </w:tr>
      <w:tr>
        <w:tc>
          <w:tcPr>
            <w:tcW w:type="dxa" w:w="86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3.5</w:t>
            </w:r>
          </w:p>
        </w:tc>
        <w:tc>
          <w:tcPr>
            <w:tcW w:type="dxa" w:w="302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Formularele de contact, cerere ofertă, demo sau înscriere.</w:t>
            </w:r>
          </w:p>
        </w:tc>
        <w:tc>
          <w:tcPr>
            <w:tcW w:type="dxa" w:w="35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Lead-ul trebuie transmis doar dacă formularul este valid și acceptat de backend sau de aplicația de formulare.</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Lista formularelor care trebuie să emită </w:t>
            </w:r>
            <w:r>
              <w:rPr>
                <w:rFonts w:ascii="Consolas" w:hAnsi="Consolas" w:eastAsia="Consolas"/>
                <w:b w:val="0"/>
                <w:color w:val="1E2430"/>
                <w:sz w:val="15"/>
              </w:rPr>
              <w:t>generate_lead</w:t>
            </w:r>
            <w:r>
              <w:rPr>
                <w:rFonts w:ascii="Aptos" w:hAnsi="Aptos" w:eastAsia="Aptos"/>
                <w:b w:val="0"/>
                <w:color w:val="1E2430"/>
                <w:sz w:val="15"/>
              </w:rPr>
              <w:t xml:space="preserve"> și sursa pentru </w:t>
            </w:r>
            <w:r>
              <w:rPr>
                <w:rFonts w:ascii="Consolas" w:hAnsi="Consolas" w:eastAsia="Consolas"/>
                <w:b w:val="0"/>
                <w:color w:val="1E2430"/>
                <w:sz w:val="15"/>
              </w:rPr>
              <w:t>lead_source</w:t>
            </w:r>
            <w:r>
              <w:rPr>
                <w:rFonts w:ascii="Aptos" w:hAnsi="Aptos" w:eastAsia="Aptos"/>
                <w:b w:val="0"/>
                <w:color w:val="1E2430"/>
                <w:sz w:val="15"/>
              </w:rPr>
              <w:t>.</w:t>
            </w:r>
          </w:p>
        </w:tc>
      </w:tr>
    </w:tbl>
    <w:p>
      <w:pPr>
        <w:spacing w:after="0"/>
      </w:pPr>
    </w:p>
    <w:p>
      <w:pPr>
        <w:pStyle w:val="Heading1"/>
        <w:spacing w:before="200" w:after="80"/>
      </w:pPr>
      <w:r>
        <w:t>4. Maparea datelor în funcție de platformă</w:t>
      </w:r>
    </w:p>
    <w:p>
      <w:pPr>
        <w:spacing w:after="100" w:line="259" w:lineRule="auto"/>
      </w:pPr>
      <w:r>
        <w:rPr>
          <w:rFonts w:ascii="Aptos" w:hAnsi="Aptos" w:eastAsia="Aptos"/>
          <w:b w:val="0"/>
          <w:color w:val="1E2430"/>
          <w:sz w:val="19"/>
        </w:rPr>
        <w:t>Mecanismul tehnic diferă între platforme, însă sursa de adevăr rămâne aceeași: datele comenzii provin din obiectul de comandă, datele produsului provin din catalog, iar datele de formular provin din răspunsul acceptat al formularului. Nu se recomandă extragerea valorilor din elemente vizuale instabile ale paginii atunci când platforma oferă date structurate.</w:t>
      </w:r>
    </w:p>
    <w:tbl>
      <w:tblPr>
        <w:tblStyle w:val="TableGrid"/>
        <w:tblW w:type="auto" w:w="0"/>
        <w:jc w:val="center"/>
        <w:tblLayout w:type="fixed"/>
        <w:tblLook w:firstColumn="1" w:firstRow="1" w:lastColumn="0" w:lastRow="0" w:noHBand="0" w:noVBand="1" w:val="04A0"/>
      </w:tblPr>
      <w:tblGrid>
        <w:gridCol w:w="2091"/>
        <w:gridCol w:w="2091"/>
        <w:gridCol w:w="2091"/>
        <w:gridCol w:w="2091"/>
        <w:gridCol w:w="2091"/>
      </w:tblGrid>
      <w:tr>
        <w:trPr>
          <w:tblHeader w:val="true"/>
        </w:trPr>
        <w:tc>
          <w:tcPr>
            <w:tcW w:type="dxa" w:w="1555"/>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Categorie de date</w:t>
            </w:r>
          </w:p>
        </w:tc>
        <w:tc>
          <w:tcPr>
            <w:tcW w:type="dxa" w:w="223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WordPress / WooCommerce</w:t>
            </w:r>
          </w:p>
        </w:tc>
        <w:tc>
          <w:tcPr>
            <w:tcW w:type="dxa" w:w="223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Magento / Adobe Commerce</w:t>
            </w:r>
          </w:p>
        </w:tc>
        <w:tc>
          <w:tcPr>
            <w:tcW w:type="dxa" w:w="223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Aplicație custom</w:t>
            </w:r>
          </w:p>
        </w:tc>
        <w:tc>
          <w:tcPr>
            <w:tcW w:type="dxa" w:w="1655"/>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Criteriu de acceptare</w:t>
            </w:r>
          </w:p>
        </w:tc>
      </w:tr>
      <w:tr>
        <w:tc>
          <w:tcPr>
            <w:tcW w:type="dxa" w:w="155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Comandă</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Entitatea de comandă disponibilă după confirmare.</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Entitatea de comandă disponibilă în checkout success / confirmare.</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Obiectul de comandă furnizat de backend sau API.</w:t>
            </w:r>
          </w:p>
        </w:tc>
        <w:tc>
          <w:tcPr>
            <w:tcW w:type="dxa" w:w="165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transaction_id</w:t>
            </w:r>
            <w:r>
              <w:rPr>
                <w:rFonts w:ascii="Aptos" w:hAnsi="Aptos" w:eastAsia="Aptos"/>
                <w:b w:val="0"/>
                <w:color w:val="1E2430"/>
                <w:sz w:val="15"/>
              </w:rPr>
              <w:t>, valoare, monedă, taxă, transport și cupon provin din aceeași comandă.</w:t>
            </w:r>
          </w:p>
        </w:tc>
      </w:tr>
      <w:tr>
        <w:tc>
          <w:tcPr>
            <w:tcW w:type="dxa" w:w="155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Produse</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Datele produsului și variației selectate din catalog / coș.</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Datele produsului configurat și ale variantei selectate.</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Catalogul și linia de comandă din modelul de date al aplicației.</w:t>
            </w:r>
          </w:p>
        </w:tc>
        <w:tc>
          <w:tcPr>
            <w:tcW w:type="dxa" w:w="165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item_id</w:t>
            </w:r>
            <w:r>
              <w:rPr>
                <w:rFonts w:ascii="Aptos" w:hAnsi="Aptos" w:eastAsia="Aptos"/>
                <w:b w:val="0"/>
                <w:color w:val="1E2430"/>
                <w:sz w:val="15"/>
              </w:rPr>
              <w:t xml:space="preserve"> și </w:t>
            </w:r>
            <w:r>
              <w:rPr>
                <w:rFonts w:ascii="Consolas" w:hAnsi="Consolas" w:eastAsia="Consolas"/>
                <w:b w:val="0"/>
                <w:color w:val="1E2430"/>
                <w:sz w:val="15"/>
              </w:rPr>
              <w:t>id</w:t>
            </w:r>
            <w:r>
              <w:rPr>
                <w:rFonts w:ascii="Aptos" w:hAnsi="Aptos" w:eastAsia="Aptos"/>
                <w:b w:val="0"/>
                <w:color w:val="1E2430"/>
                <w:sz w:val="15"/>
              </w:rPr>
              <w:t xml:space="preserve"> sunt stabile și corespund identificatorului agreat pentru feed.</w:t>
            </w:r>
          </w:p>
        </w:tc>
      </w:tr>
      <w:tr>
        <w:tc>
          <w:tcPr>
            <w:tcW w:type="dxa" w:w="155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Coș și checkout</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Starea curentă a coșului, inclusiv cantități și reduceri.</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Quote / cart și selecțiile de transport sau plată.</w:t>
            </w:r>
          </w:p>
        </w:tc>
        <w:tc>
          <w:tcPr>
            <w:tcW w:type="dxa" w:w="223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Store de coș sau răspuns API actualizat după fiecare acțiune.</w:t>
            </w:r>
          </w:p>
        </w:tc>
        <w:tc>
          <w:tcPr>
            <w:tcW w:type="dxa" w:w="165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items[]</w:t>
            </w:r>
            <w:r>
              <w:rPr>
                <w:rFonts w:ascii="Aptos" w:hAnsi="Aptos" w:eastAsia="Aptos"/>
                <w:b w:val="0"/>
                <w:color w:val="1E2430"/>
                <w:sz w:val="15"/>
              </w:rPr>
              <w:t xml:space="preserve"> reflectă exact starea confirmată a coșului, nu o versiune anterioară.</w:t>
            </w:r>
          </w:p>
        </w:tc>
      </w:tr>
      <w:tr>
        <w:tc>
          <w:tcPr>
            <w:tcW w:type="dxa" w:w="155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Lead</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Datele formularului după submit reușit.</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Datele formularului / modulului după submit reușit.</w:t>
            </w:r>
          </w:p>
        </w:tc>
        <w:tc>
          <w:tcPr>
            <w:tcW w:type="dxa" w:w="223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Payload confirmat de endpoint-ul de lead.</w:t>
            </w:r>
          </w:p>
        </w:tc>
        <w:tc>
          <w:tcPr>
            <w:tcW w:type="dxa" w:w="165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Emailul, telefonul și sursa sunt dinamice; nu se emit la simpla afișare a formularului.</w:t>
            </w:r>
          </w:p>
        </w:tc>
      </w:tr>
    </w:tbl>
    <w:p>
      <w:pPr>
        <w:spacing w:after="0"/>
      </w:pPr>
    </w:p>
    <w:p>
      <w:pPr>
        <w:pStyle w:val="Heading1"/>
        <w:spacing w:before="200" w:after="80"/>
      </w:pPr>
      <w:r>
        <w:t>5. Implementarea fluxului e-commerce</w:t>
      </w:r>
    </w:p>
    <w:p>
      <w:pPr>
        <w:spacing w:after="100" w:line="259" w:lineRule="auto"/>
      </w:pPr>
      <w:r>
        <w:rPr>
          <w:rFonts w:ascii="Aptos" w:hAnsi="Aptos" w:eastAsia="Aptos"/>
          <w:b w:val="0"/>
          <w:color w:val="1E2430"/>
          <w:sz w:val="19"/>
        </w:rPr>
        <w:t xml:space="preserve">Evenimentele de mai jos trebuie implementate în ordinea logică a experienței utilizatorului. Pentru fiecare eveniment, se transmite obiectul </w:t>
      </w:r>
      <w:r>
        <w:rPr>
          <w:rFonts w:ascii="Consolas" w:hAnsi="Consolas" w:eastAsia="Consolas"/>
          <w:b w:val="0"/>
          <w:color w:val="1E2430"/>
          <w:sz w:val="19"/>
        </w:rPr>
        <w:t>ecommerce</w:t>
      </w:r>
      <w:r>
        <w:rPr>
          <w:rFonts w:ascii="Aptos" w:hAnsi="Aptos" w:eastAsia="Aptos"/>
          <w:b w:val="0"/>
          <w:color w:val="1E2430"/>
          <w:sz w:val="19"/>
        </w:rPr>
        <w:t xml:space="preserve"> și lista </w:t>
      </w:r>
      <w:r>
        <w:rPr>
          <w:rFonts w:ascii="Consolas" w:hAnsi="Consolas" w:eastAsia="Consolas"/>
          <w:b w:val="0"/>
          <w:color w:val="1E2430"/>
          <w:sz w:val="19"/>
        </w:rPr>
        <w:t>items[]</w:t>
      </w:r>
      <w:r>
        <w:rPr>
          <w:rFonts w:ascii="Aptos" w:hAnsi="Aptos" w:eastAsia="Aptos"/>
          <w:b w:val="0"/>
          <w:color w:val="1E2430"/>
          <w:sz w:val="19"/>
        </w:rPr>
        <w:t xml:space="preserve"> relevantă la acel moment. Nu trebuie transmisă lista de produse dintr-un pas anterior dacă starea curentă diferă.</w:t>
      </w:r>
    </w:p>
    <w:tbl>
      <w:tblPr>
        <w:tblStyle w:val="TableGrid"/>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161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Eveniment</w:t>
            </w:r>
          </w:p>
        </w:tc>
        <w:tc>
          <w:tcPr>
            <w:tcW w:type="dxa" w:w="2476"/>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Moment de emitere</w:t>
            </w:r>
          </w:p>
        </w:tc>
        <w:tc>
          <w:tcPr>
            <w:tcW w:type="dxa" w:w="3384"/>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Date minime de verificat</w:t>
            </w:r>
          </w:p>
        </w:tc>
        <w:tc>
          <w:tcPr>
            <w:tcW w:type="dxa" w:w="210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De ce este necesar</w:t>
            </w:r>
          </w:p>
        </w:tc>
      </w:tr>
      <w:tr>
        <w:tc>
          <w:tcPr>
            <w:tcW w:type="dxa" w:w="16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view_item_list</w:t>
            </w:r>
          </w:p>
        </w:tc>
        <w:tc>
          <w:tcPr>
            <w:tcW w:type="dxa" w:w="24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După ce utilizatorul vede o listă de produse: categorie, rezultate de căutare sau listă promoțională.</w:t>
            </w:r>
          </w:p>
        </w:tc>
        <w:tc>
          <w:tcPr>
            <w:tcW w:type="dxa" w:w="338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items[]</w:t>
            </w:r>
            <w:r>
              <w:rPr>
                <w:rFonts w:ascii="Aptos" w:hAnsi="Aptos" w:eastAsia="Aptos"/>
                <w:b w:val="0"/>
                <w:color w:val="1E2430"/>
                <w:sz w:val="15"/>
              </w:rPr>
              <w:t xml:space="preserve">, </w:t>
            </w:r>
            <w:r>
              <w:rPr>
                <w:rFonts w:ascii="Consolas" w:hAnsi="Consolas" w:eastAsia="Consolas"/>
                <w:b w:val="0"/>
                <w:color w:val="1E2430"/>
                <w:sz w:val="15"/>
              </w:rPr>
              <w:t>item_name</w:t>
            </w:r>
            <w:r>
              <w:rPr>
                <w:rFonts w:ascii="Aptos" w:hAnsi="Aptos" w:eastAsia="Aptos"/>
                <w:b w:val="0"/>
                <w:color w:val="1E2430"/>
                <w:sz w:val="15"/>
              </w:rPr>
              <w:t xml:space="preserve">, </w:t>
            </w:r>
            <w:r>
              <w:rPr>
                <w:rFonts w:ascii="Consolas" w:hAnsi="Consolas" w:eastAsia="Consolas"/>
                <w:b w:val="0"/>
                <w:color w:val="1E2430"/>
                <w:sz w:val="15"/>
              </w:rPr>
              <w:t>item_id</w:t>
            </w:r>
            <w:r>
              <w:rPr>
                <w:rFonts w:ascii="Aptos" w:hAnsi="Aptos" w:eastAsia="Aptos"/>
                <w:b w:val="0"/>
                <w:color w:val="1E2430"/>
                <w:sz w:val="15"/>
              </w:rPr>
              <w:t xml:space="preserve">, </w:t>
            </w:r>
            <w:r>
              <w:rPr>
                <w:rFonts w:ascii="Consolas" w:hAnsi="Consolas" w:eastAsia="Consolas"/>
                <w:b w:val="0"/>
                <w:color w:val="1E2430"/>
                <w:sz w:val="15"/>
              </w:rPr>
              <w:t>google_business_vertical</w:t>
            </w:r>
            <w:r>
              <w:rPr>
                <w:rFonts w:ascii="Aptos" w:hAnsi="Aptos" w:eastAsia="Aptos"/>
                <w:b w:val="0"/>
                <w:color w:val="1E2430"/>
                <w:sz w:val="15"/>
              </w:rPr>
              <w:t xml:space="preserve">, </w:t>
            </w:r>
            <w:r>
              <w:rPr>
                <w:rFonts w:ascii="Consolas" w:hAnsi="Consolas" w:eastAsia="Consolas"/>
                <w:b w:val="0"/>
                <w:color w:val="1E2430"/>
                <w:sz w:val="15"/>
              </w:rPr>
              <w:t>id</w:t>
            </w:r>
            <w:r>
              <w:rPr>
                <w:rFonts w:ascii="Aptos" w:hAnsi="Aptos" w:eastAsia="Aptos"/>
                <w:b w:val="0"/>
                <w:color w:val="1E2430"/>
                <w:sz w:val="15"/>
              </w:rPr>
              <w:t xml:space="preserve">; dacă există, </w:t>
            </w:r>
            <w:r>
              <w:rPr>
                <w:rFonts w:ascii="Consolas" w:hAnsi="Consolas" w:eastAsia="Consolas"/>
                <w:b w:val="0"/>
                <w:color w:val="1E2430"/>
                <w:sz w:val="15"/>
              </w:rPr>
              <w:t>item_list_name</w:t>
            </w:r>
            <w:r>
              <w:rPr>
                <w:rFonts w:ascii="Aptos" w:hAnsi="Aptos" w:eastAsia="Aptos"/>
                <w:b w:val="0"/>
                <w:color w:val="1E2430"/>
                <w:sz w:val="15"/>
              </w:rPr>
              <w:t xml:space="preserve">, </w:t>
            </w:r>
            <w:r>
              <w:rPr>
                <w:rFonts w:ascii="Consolas" w:hAnsi="Consolas" w:eastAsia="Consolas"/>
                <w:b w:val="0"/>
                <w:color w:val="1E2430"/>
                <w:sz w:val="15"/>
              </w:rPr>
              <w:t>item_list_id</w:t>
            </w:r>
            <w:r>
              <w:rPr>
                <w:rFonts w:ascii="Aptos" w:hAnsi="Aptos" w:eastAsia="Aptos"/>
                <w:b w:val="0"/>
                <w:color w:val="1E2430"/>
                <w:sz w:val="15"/>
              </w:rPr>
              <w:t xml:space="preserve">, </w:t>
            </w:r>
            <w:r>
              <w:rPr>
                <w:rFonts w:ascii="Consolas" w:hAnsi="Consolas" w:eastAsia="Consolas"/>
                <w:b w:val="0"/>
                <w:color w:val="1E2430"/>
                <w:sz w:val="15"/>
              </w:rPr>
              <w:t>index</w:t>
            </w:r>
            <w:r>
              <w:rPr>
                <w:rFonts w:ascii="Aptos" w:hAnsi="Aptos" w:eastAsia="Aptos"/>
                <w:b w:val="0"/>
                <w:color w:val="1E2430"/>
                <w:sz w:val="15"/>
              </w:rPr>
              <w:t>.</w:t>
            </w:r>
          </w:p>
        </w:tc>
        <w:tc>
          <w:tcPr>
            <w:tcW w:type="dxa" w:w="210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Permite măsurarea expunerii produselor și a listelor vizualizate. [1]</w:t>
            </w:r>
          </w:p>
        </w:tc>
      </w:tr>
      <w:tr>
        <w:tc>
          <w:tcPr>
            <w:tcW w:type="dxa" w:w="16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view_item</w:t>
            </w:r>
          </w:p>
        </w:tc>
        <w:tc>
          <w:tcPr>
            <w:tcW w:type="dxa" w:w="24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După afișarea paginii de detaliu a unui produs.</w:t>
            </w:r>
          </w:p>
        </w:tc>
        <w:tc>
          <w:tcPr>
            <w:tcW w:type="dxa" w:w="338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ecommerce.value</w:t>
            </w:r>
            <w:r>
              <w:rPr>
                <w:rFonts w:ascii="Aptos" w:hAnsi="Aptos" w:eastAsia="Aptos"/>
                <w:b w:val="0"/>
                <w:color w:val="1E2430"/>
                <w:sz w:val="15"/>
              </w:rPr>
              <w:t xml:space="preserve">, </w:t>
            </w:r>
            <w:r>
              <w:rPr>
                <w:rFonts w:ascii="Consolas" w:hAnsi="Consolas" w:eastAsia="Consolas"/>
                <w:b w:val="0"/>
                <w:color w:val="1E2430"/>
                <w:sz w:val="15"/>
              </w:rPr>
              <w:t>items[]</w:t>
            </w:r>
            <w:r>
              <w:rPr>
                <w:rFonts w:ascii="Aptos" w:hAnsi="Aptos" w:eastAsia="Aptos"/>
                <w:b w:val="0"/>
                <w:color w:val="1E2430"/>
                <w:sz w:val="15"/>
              </w:rPr>
              <w:t>, identificator produs și datele dinamice ale variantei selectate.</w:t>
            </w:r>
          </w:p>
        </w:tc>
        <w:tc>
          <w:tcPr>
            <w:tcW w:type="dxa" w:w="210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Leagă interesul utilizatorului de produsul concret consultat. [1]</w:t>
            </w:r>
          </w:p>
        </w:tc>
      </w:tr>
      <w:tr>
        <w:tc>
          <w:tcPr>
            <w:tcW w:type="dxa" w:w="16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add_to_cart</w:t>
            </w:r>
          </w:p>
        </w:tc>
        <w:tc>
          <w:tcPr>
            <w:tcW w:type="dxa" w:w="24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După confirmarea adăugării produsului în coș; nu la simplul click dacă operațiunea poate eșua.</w:t>
            </w:r>
          </w:p>
        </w:tc>
        <w:tc>
          <w:tcPr>
            <w:tcW w:type="dxa" w:w="338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ecommerce.value</w:t>
            </w:r>
            <w:r>
              <w:rPr>
                <w:rFonts w:ascii="Aptos" w:hAnsi="Aptos" w:eastAsia="Aptos"/>
                <w:b w:val="0"/>
                <w:color w:val="1E2430"/>
                <w:sz w:val="15"/>
              </w:rPr>
              <w:t xml:space="preserve">, </w:t>
            </w:r>
            <w:r>
              <w:rPr>
                <w:rFonts w:ascii="Consolas" w:hAnsi="Consolas" w:eastAsia="Consolas"/>
                <w:b w:val="0"/>
                <w:color w:val="1E2430"/>
                <w:sz w:val="15"/>
              </w:rPr>
              <w:t>items[]</w:t>
            </w:r>
            <w:r>
              <w:rPr>
                <w:rFonts w:ascii="Aptos" w:hAnsi="Aptos" w:eastAsia="Aptos"/>
                <w:b w:val="0"/>
                <w:color w:val="1E2430"/>
                <w:sz w:val="15"/>
              </w:rPr>
              <w:t xml:space="preserve">, </w:t>
            </w:r>
            <w:r>
              <w:rPr>
                <w:rFonts w:ascii="Consolas" w:hAnsi="Consolas" w:eastAsia="Consolas"/>
                <w:b w:val="0"/>
                <w:color w:val="1E2430"/>
                <w:sz w:val="15"/>
              </w:rPr>
              <w:t>price</w:t>
            </w:r>
            <w:r>
              <w:rPr>
                <w:rFonts w:ascii="Aptos" w:hAnsi="Aptos" w:eastAsia="Aptos"/>
                <w:b w:val="0"/>
                <w:color w:val="1E2430"/>
                <w:sz w:val="15"/>
              </w:rPr>
              <w:t xml:space="preserve">, </w:t>
            </w:r>
            <w:r>
              <w:rPr>
                <w:rFonts w:ascii="Consolas" w:hAnsi="Consolas" w:eastAsia="Consolas"/>
                <w:b w:val="0"/>
                <w:color w:val="1E2430"/>
                <w:sz w:val="15"/>
              </w:rPr>
              <w:t>quantity</w:t>
            </w:r>
            <w:r>
              <w:rPr>
                <w:rFonts w:ascii="Aptos" w:hAnsi="Aptos" w:eastAsia="Aptos"/>
                <w:b w:val="0"/>
                <w:color w:val="1E2430"/>
                <w:sz w:val="15"/>
              </w:rPr>
              <w:t xml:space="preserve"> și identificatorii produsului.</w:t>
            </w:r>
          </w:p>
        </w:tc>
        <w:tc>
          <w:tcPr>
            <w:tcW w:type="dxa" w:w="210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Reflectă produsele adăugate efectiv în coș. [1]</w:t>
            </w:r>
          </w:p>
        </w:tc>
      </w:tr>
      <w:tr>
        <w:tc>
          <w:tcPr>
            <w:tcW w:type="dxa" w:w="16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remove_from_cart</w:t>
            </w:r>
          </w:p>
        </w:tc>
        <w:tc>
          <w:tcPr>
            <w:tcW w:type="dxa" w:w="24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După confirmarea eliminării produsului din coș.</w:t>
            </w:r>
          </w:p>
        </w:tc>
        <w:tc>
          <w:tcPr>
            <w:tcW w:type="dxa" w:w="338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items[]</w:t>
            </w:r>
            <w:r>
              <w:rPr>
                <w:rFonts w:ascii="Aptos" w:hAnsi="Aptos" w:eastAsia="Aptos"/>
                <w:b w:val="0"/>
                <w:color w:val="1E2430"/>
                <w:sz w:val="15"/>
              </w:rPr>
              <w:t>, identificatorii produsului și cantitatea eliminată.</w:t>
            </w:r>
          </w:p>
        </w:tc>
        <w:tc>
          <w:tcPr>
            <w:tcW w:type="dxa" w:w="210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Păstrează starea de intenție a utilizatorului corectă în raportare. [1]</w:t>
            </w:r>
          </w:p>
        </w:tc>
      </w:tr>
      <w:tr>
        <w:tc>
          <w:tcPr>
            <w:tcW w:type="dxa" w:w="16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view_cart</w:t>
            </w:r>
          </w:p>
        </w:tc>
        <w:tc>
          <w:tcPr>
            <w:tcW w:type="dxa" w:w="24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La afișarea coșului, inclusiv dacă un cart drawer este tratat ca vizualizare de coș în implementarea agreată.</w:t>
            </w:r>
          </w:p>
        </w:tc>
        <w:tc>
          <w:tcPr>
            <w:tcW w:type="dxa" w:w="338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ecommerce.value</w:t>
            </w:r>
            <w:r>
              <w:rPr>
                <w:rFonts w:ascii="Aptos" w:hAnsi="Aptos" w:eastAsia="Aptos"/>
                <w:b w:val="0"/>
                <w:color w:val="1E2430"/>
                <w:sz w:val="15"/>
              </w:rPr>
              <w:t xml:space="preserve">, toate produsele curente din </w:t>
            </w:r>
            <w:r>
              <w:rPr>
                <w:rFonts w:ascii="Consolas" w:hAnsi="Consolas" w:eastAsia="Consolas"/>
                <w:b w:val="0"/>
                <w:color w:val="1E2430"/>
                <w:sz w:val="15"/>
              </w:rPr>
              <w:t>items[]</w:t>
            </w:r>
            <w:r>
              <w:rPr>
                <w:rFonts w:ascii="Aptos" w:hAnsi="Aptos" w:eastAsia="Aptos"/>
                <w:b w:val="0"/>
                <w:color w:val="1E2430"/>
                <w:sz w:val="15"/>
              </w:rPr>
              <w:t>.</w:t>
            </w:r>
          </w:p>
        </w:tc>
        <w:tc>
          <w:tcPr>
            <w:tcW w:type="dxa" w:w="210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Oferă imaginea coșului înainte de checkout. [1]</w:t>
            </w:r>
          </w:p>
        </w:tc>
      </w:tr>
      <w:tr>
        <w:tc>
          <w:tcPr>
            <w:tcW w:type="dxa" w:w="16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begin_checkout</w:t>
            </w:r>
          </w:p>
        </w:tc>
        <w:tc>
          <w:tcPr>
            <w:tcW w:type="dxa" w:w="24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Când utilizatorul intră în procesul de checkout.</w:t>
            </w:r>
          </w:p>
        </w:tc>
        <w:tc>
          <w:tcPr>
            <w:tcW w:type="dxa" w:w="338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ecommerce.currency</w:t>
            </w:r>
            <w:r>
              <w:rPr>
                <w:rFonts w:ascii="Aptos" w:hAnsi="Aptos" w:eastAsia="Aptos"/>
                <w:b w:val="0"/>
                <w:color w:val="1E2430"/>
                <w:sz w:val="15"/>
              </w:rPr>
              <w:t xml:space="preserve">, </w:t>
            </w:r>
            <w:r>
              <w:rPr>
                <w:rFonts w:ascii="Consolas" w:hAnsi="Consolas" w:eastAsia="Consolas"/>
                <w:b w:val="0"/>
                <w:color w:val="1E2430"/>
                <w:sz w:val="15"/>
              </w:rPr>
              <w:t>ecommerce.value</w:t>
            </w:r>
            <w:r>
              <w:rPr>
                <w:rFonts w:ascii="Aptos" w:hAnsi="Aptos" w:eastAsia="Aptos"/>
                <w:b w:val="0"/>
                <w:color w:val="1E2430"/>
                <w:sz w:val="15"/>
              </w:rPr>
              <w:t xml:space="preserve">, </w:t>
            </w:r>
            <w:r>
              <w:rPr>
                <w:rFonts w:ascii="Consolas" w:hAnsi="Consolas" w:eastAsia="Consolas"/>
                <w:b w:val="0"/>
                <w:color w:val="1E2430"/>
                <w:sz w:val="15"/>
              </w:rPr>
              <w:t>coupon</w:t>
            </w:r>
            <w:r>
              <w:rPr>
                <w:rFonts w:ascii="Aptos" w:hAnsi="Aptos" w:eastAsia="Aptos"/>
                <w:b w:val="0"/>
                <w:color w:val="1E2430"/>
                <w:sz w:val="15"/>
              </w:rPr>
              <w:t xml:space="preserve"> dacă există, </w:t>
            </w:r>
            <w:r>
              <w:rPr>
                <w:rFonts w:ascii="Consolas" w:hAnsi="Consolas" w:eastAsia="Consolas"/>
                <w:b w:val="0"/>
                <w:color w:val="1E2430"/>
                <w:sz w:val="15"/>
              </w:rPr>
              <w:t>items[]</w:t>
            </w:r>
            <w:r>
              <w:rPr>
                <w:rFonts w:ascii="Aptos" w:hAnsi="Aptos" w:eastAsia="Aptos"/>
                <w:b w:val="0"/>
                <w:color w:val="1E2430"/>
                <w:sz w:val="15"/>
              </w:rPr>
              <w:t xml:space="preserve"> complet.</w:t>
            </w:r>
          </w:p>
        </w:tc>
        <w:tc>
          <w:tcPr>
            <w:tcW w:type="dxa" w:w="210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Marchează începutul fluxului de cumpărare. [1]</w:t>
            </w:r>
          </w:p>
        </w:tc>
      </w:tr>
      <w:tr>
        <w:tc>
          <w:tcPr>
            <w:tcW w:type="dxa" w:w="16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add_shipping_info</w:t>
            </w:r>
          </w:p>
        </w:tc>
        <w:tc>
          <w:tcPr>
            <w:tcW w:type="dxa" w:w="24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La încărcarea selecției de transport cu metoda implicită și din nou când utilizatorul schimbă metoda.</w:t>
            </w:r>
          </w:p>
        </w:tc>
        <w:tc>
          <w:tcPr>
            <w:tcW w:type="dxa" w:w="338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shipping_tier</w:t>
            </w:r>
            <w:r>
              <w:rPr>
                <w:rFonts w:ascii="Aptos" w:hAnsi="Aptos" w:eastAsia="Aptos"/>
                <w:b w:val="0"/>
                <w:color w:val="1E2430"/>
                <w:sz w:val="15"/>
              </w:rPr>
              <w:t>, valoare, monedă, produse și cupon dacă este disponibil.</w:t>
            </w:r>
          </w:p>
        </w:tc>
        <w:tc>
          <w:tcPr>
            <w:tcW w:type="dxa" w:w="210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Face vizibilă metoda de livrare selectată în parcursul de checkout. [1]</w:t>
            </w:r>
          </w:p>
        </w:tc>
      </w:tr>
      <w:tr>
        <w:tc>
          <w:tcPr>
            <w:tcW w:type="dxa" w:w="16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add_payment_info</w:t>
            </w:r>
          </w:p>
        </w:tc>
        <w:tc>
          <w:tcPr>
            <w:tcW w:type="dxa" w:w="247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La încărcarea selecției de plată cu metoda implicită și din nou când utilizatorul schimbă metoda.</w:t>
            </w:r>
          </w:p>
        </w:tc>
        <w:tc>
          <w:tcPr>
            <w:tcW w:type="dxa" w:w="3384"/>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payment_type</w:t>
            </w:r>
            <w:r>
              <w:rPr>
                <w:rFonts w:ascii="Aptos" w:hAnsi="Aptos" w:eastAsia="Aptos"/>
                <w:b w:val="0"/>
                <w:color w:val="1E2430"/>
                <w:sz w:val="15"/>
              </w:rPr>
              <w:t>, valoare, monedă, produse și cupon dacă este disponibil.</w:t>
            </w:r>
          </w:p>
        </w:tc>
        <w:tc>
          <w:tcPr>
            <w:tcW w:type="dxa" w:w="210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Face vizibilă metoda de plată selectată în parcursul de checkout. [1]</w:t>
            </w:r>
          </w:p>
        </w:tc>
      </w:tr>
      <w:tr>
        <w:tc>
          <w:tcPr>
            <w:tcW w:type="dxa" w:w="16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purchase</w:t>
            </w:r>
          </w:p>
        </w:tc>
        <w:tc>
          <w:tcPr>
            <w:tcW w:type="dxa" w:w="247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Doar după confirmarea finală a comenzii, de regulă pe pagina de succes sau după confirmarea stabilă a backend-ului.</w:t>
            </w:r>
          </w:p>
        </w:tc>
        <w:tc>
          <w:tcPr>
            <w:tcW w:type="dxa" w:w="3384"/>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transaction_id</w:t>
            </w:r>
            <w:r>
              <w:rPr>
                <w:rFonts w:ascii="Aptos" w:hAnsi="Aptos" w:eastAsia="Aptos"/>
                <w:b w:val="0"/>
                <w:color w:val="1E2430"/>
                <w:sz w:val="15"/>
              </w:rPr>
              <w:t xml:space="preserve">, </w:t>
            </w:r>
            <w:r>
              <w:rPr>
                <w:rFonts w:ascii="Consolas" w:hAnsi="Consolas" w:eastAsia="Consolas"/>
                <w:b w:val="0"/>
                <w:color w:val="1E2430"/>
                <w:sz w:val="15"/>
              </w:rPr>
              <w:t>currency</w:t>
            </w:r>
            <w:r>
              <w:rPr>
                <w:rFonts w:ascii="Aptos" w:hAnsi="Aptos" w:eastAsia="Aptos"/>
                <w:b w:val="0"/>
                <w:color w:val="1E2430"/>
                <w:sz w:val="15"/>
              </w:rPr>
              <w:t xml:space="preserve">, </w:t>
            </w:r>
            <w:r>
              <w:rPr>
                <w:rFonts w:ascii="Consolas" w:hAnsi="Consolas" w:eastAsia="Consolas"/>
                <w:b w:val="0"/>
                <w:color w:val="1E2430"/>
                <w:sz w:val="15"/>
              </w:rPr>
              <w:t>value</w:t>
            </w:r>
            <w:r>
              <w:rPr>
                <w:rFonts w:ascii="Aptos" w:hAnsi="Aptos" w:eastAsia="Aptos"/>
                <w:b w:val="0"/>
                <w:color w:val="1E2430"/>
                <w:sz w:val="15"/>
              </w:rPr>
              <w:t xml:space="preserve">, </w:t>
            </w:r>
            <w:r>
              <w:rPr>
                <w:rFonts w:ascii="Consolas" w:hAnsi="Consolas" w:eastAsia="Consolas"/>
                <w:b w:val="0"/>
                <w:color w:val="1E2430"/>
                <w:sz w:val="15"/>
              </w:rPr>
              <w:t>items[]</w:t>
            </w:r>
            <w:r>
              <w:rPr>
                <w:rFonts w:ascii="Aptos" w:hAnsi="Aptos" w:eastAsia="Aptos"/>
                <w:b w:val="0"/>
                <w:color w:val="1E2430"/>
                <w:sz w:val="15"/>
              </w:rPr>
              <w:t xml:space="preserve">; unde există: </w:t>
            </w:r>
            <w:r>
              <w:rPr>
                <w:rFonts w:ascii="Consolas" w:hAnsi="Consolas" w:eastAsia="Consolas"/>
                <w:b w:val="0"/>
                <w:color w:val="1E2430"/>
                <w:sz w:val="15"/>
              </w:rPr>
              <w:t>tax</w:t>
            </w:r>
            <w:r>
              <w:rPr>
                <w:rFonts w:ascii="Aptos" w:hAnsi="Aptos" w:eastAsia="Aptos"/>
                <w:b w:val="0"/>
                <w:color w:val="1E2430"/>
                <w:sz w:val="15"/>
              </w:rPr>
              <w:t xml:space="preserve">, </w:t>
            </w:r>
            <w:r>
              <w:rPr>
                <w:rFonts w:ascii="Consolas" w:hAnsi="Consolas" w:eastAsia="Consolas"/>
                <w:b w:val="0"/>
                <w:color w:val="1E2430"/>
                <w:sz w:val="15"/>
              </w:rPr>
              <w:t>shipping</w:t>
            </w:r>
            <w:r>
              <w:rPr>
                <w:rFonts w:ascii="Aptos" w:hAnsi="Aptos" w:eastAsia="Aptos"/>
                <w:b w:val="0"/>
                <w:color w:val="1E2430"/>
                <w:sz w:val="15"/>
              </w:rPr>
              <w:t xml:space="preserve">, </w:t>
            </w:r>
            <w:r>
              <w:rPr>
                <w:rFonts w:ascii="Consolas" w:hAnsi="Consolas" w:eastAsia="Consolas"/>
                <w:b w:val="0"/>
                <w:color w:val="1E2430"/>
                <w:sz w:val="15"/>
              </w:rPr>
              <w:t>affiliation</w:t>
            </w:r>
            <w:r>
              <w:rPr>
                <w:rFonts w:ascii="Aptos" w:hAnsi="Aptos" w:eastAsia="Aptos"/>
                <w:b w:val="0"/>
                <w:color w:val="1E2430"/>
                <w:sz w:val="15"/>
              </w:rPr>
              <w:t xml:space="preserve">, </w:t>
            </w:r>
            <w:r>
              <w:rPr>
                <w:rFonts w:ascii="Consolas" w:hAnsi="Consolas" w:eastAsia="Consolas"/>
                <w:b w:val="0"/>
                <w:color w:val="1E2430"/>
                <w:sz w:val="15"/>
              </w:rPr>
              <w:t>coupon</w:t>
            </w:r>
            <w:r>
              <w:rPr>
                <w:rFonts w:ascii="Aptos" w:hAnsi="Aptos" w:eastAsia="Aptos"/>
                <w:b w:val="0"/>
                <w:color w:val="1E2430"/>
                <w:sz w:val="15"/>
              </w:rPr>
              <w:t xml:space="preserve">, </w:t>
            </w:r>
            <w:r>
              <w:rPr>
                <w:rFonts w:ascii="Consolas" w:hAnsi="Consolas" w:eastAsia="Consolas"/>
                <w:b w:val="0"/>
                <w:color w:val="1E2430"/>
                <w:sz w:val="15"/>
              </w:rPr>
              <w:t>new_customer</w:t>
            </w:r>
            <w:r>
              <w:rPr>
                <w:rFonts w:ascii="Aptos" w:hAnsi="Aptos" w:eastAsia="Aptos"/>
                <w:b w:val="0"/>
                <w:color w:val="1E2430"/>
                <w:sz w:val="15"/>
              </w:rPr>
              <w:t xml:space="preserve">, </w:t>
            </w:r>
            <w:r>
              <w:rPr>
                <w:rFonts w:ascii="Consolas" w:hAnsi="Consolas" w:eastAsia="Consolas"/>
                <w:b w:val="0"/>
                <w:color w:val="1E2430"/>
                <w:sz w:val="15"/>
              </w:rPr>
              <w:t>email</w:t>
            </w:r>
            <w:r>
              <w:rPr>
                <w:rFonts w:ascii="Aptos" w:hAnsi="Aptos" w:eastAsia="Aptos"/>
                <w:b w:val="0"/>
                <w:color w:val="1E2430"/>
                <w:sz w:val="15"/>
              </w:rPr>
              <w:t>.</w:t>
            </w:r>
          </w:p>
        </w:tc>
        <w:tc>
          <w:tcPr>
            <w:tcW w:type="dxa" w:w="210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Este conversia finală; </w:t>
            </w:r>
            <w:r>
              <w:rPr>
                <w:rFonts w:ascii="Consolas" w:hAnsi="Consolas" w:eastAsia="Consolas"/>
                <w:b w:val="0"/>
                <w:color w:val="1E2430"/>
                <w:sz w:val="15"/>
              </w:rPr>
              <w:t>transaction_id</w:t>
            </w:r>
            <w:r>
              <w:rPr>
                <w:rFonts w:ascii="Aptos" w:hAnsi="Aptos" w:eastAsia="Aptos"/>
                <w:b w:val="0"/>
                <w:color w:val="1E2430"/>
                <w:sz w:val="15"/>
              </w:rPr>
              <w:t xml:space="preserve"> unic este esențial pentru deduplicare. [1] [2]</w:t>
            </w:r>
          </w:p>
        </w:tc>
      </w:tr>
    </w:tbl>
    <w:p>
      <w:pPr>
        <w:spacing w:after="0"/>
      </w:pPr>
    </w:p>
    <w:p>
      <w:pPr>
        <w:pStyle w:val="Heading1"/>
        <w:spacing w:before="200" w:after="80"/>
      </w:pPr>
      <w:r>
        <w:t>6. Implementarea `items[]` și identificatorii de produs</w:t>
      </w:r>
    </w:p>
    <w:p>
      <w:pPr>
        <w:spacing w:after="100" w:line="259" w:lineRule="auto"/>
      </w:pPr>
      <w:r>
        <w:rPr>
          <w:rFonts w:ascii="Aptos" w:hAnsi="Aptos" w:eastAsia="Aptos"/>
          <w:b w:val="0"/>
          <w:color w:val="1E2430"/>
          <w:sz w:val="19"/>
        </w:rPr>
        <w:t xml:space="preserve">Fiecare produs din </w:t>
      </w:r>
      <w:r>
        <w:rPr>
          <w:rFonts w:ascii="Consolas" w:hAnsi="Consolas" w:eastAsia="Consolas"/>
          <w:b w:val="0"/>
          <w:color w:val="1E2430"/>
          <w:sz w:val="19"/>
        </w:rPr>
        <w:t>items[]</w:t>
      </w:r>
      <w:r>
        <w:rPr>
          <w:rFonts w:ascii="Aptos" w:hAnsi="Aptos" w:eastAsia="Aptos"/>
          <w:b w:val="0"/>
          <w:color w:val="1E2430"/>
          <w:sz w:val="19"/>
        </w:rPr>
        <w:t xml:space="preserve"> trebuie să fie o reprezentare a produsului concret din coș sau din pagină. Dacă produsul are variante, identificatorul utilizat trebuie să fie acela agreat pentru varianta cumpărată sau afișată. Aceeași regulă se aplică atât la </w:t>
      </w:r>
      <w:r>
        <w:rPr>
          <w:rFonts w:ascii="Consolas" w:hAnsi="Consolas" w:eastAsia="Consolas"/>
          <w:b w:val="0"/>
          <w:color w:val="1E2430"/>
          <w:sz w:val="19"/>
        </w:rPr>
        <w:t>item_id</w:t>
      </w:r>
      <w:r>
        <w:rPr>
          <w:rFonts w:ascii="Aptos" w:hAnsi="Aptos" w:eastAsia="Aptos"/>
          <w:b w:val="0"/>
          <w:color w:val="1E2430"/>
          <w:sz w:val="19"/>
        </w:rPr>
        <w:t xml:space="preserve">, cât și la </w:t>
      </w:r>
      <w:r>
        <w:rPr>
          <w:rFonts w:ascii="Consolas" w:hAnsi="Consolas" w:eastAsia="Consolas"/>
          <w:b w:val="0"/>
          <w:color w:val="1E2430"/>
          <w:sz w:val="19"/>
        </w:rPr>
        <w:t>id</w:t>
      </w:r>
      <w:r>
        <w:rPr>
          <w:rFonts w:ascii="Aptos" w:hAnsi="Aptos" w:eastAsia="Aptos"/>
          <w:b w:val="0"/>
          <w:color w:val="1E2430"/>
          <w:sz w:val="19"/>
        </w:rPr>
        <w:t xml:space="preserve"> pentru remarketing dinamic. [1] [2]</w:t>
      </w:r>
    </w:p>
    <w:tbl>
      <w:tblPr>
        <w:tblStyle w:val="TableGrid"/>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2015"/>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Parametru</w:t>
            </w:r>
          </w:p>
        </w:tc>
        <w:tc>
          <w:tcPr>
            <w:tcW w:type="dxa" w:w="324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Regulă tehnică</w:t>
            </w:r>
          </w:p>
        </w:tc>
        <w:tc>
          <w:tcPr>
            <w:tcW w:type="dxa" w:w="259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Sursă recomandată</w:t>
            </w:r>
          </w:p>
        </w:tc>
        <w:tc>
          <w:tcPr>
            <w:tcW w:type="dxa" w:w="172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Observație</w:t>
            </w:r>
          </w:p>
        </w:tc>
      </w:tr>
      <w:tr>
        <w:tc>
          <w:tcPr>
            <w:tcW w:type="dxa" w:w="201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item_name</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Text al numelui produsului; este obligatoriu în exemplele de referință.</w:t>
            </w:r>
          </w:p>
        </w:tc>
        <w:tc>
          <w:tcPr>
            <w:tcW w:type="dxa" w:w="25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Numele de produs din catalog.</w:t>
            </w:r>
          </w:p>
        </w:tc>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Nu se traduce denumirea tehnică a parametrului; se transmite valoarea reală din catalog.</w:t>
            </w:r>
          </w:p>
        </w:tc>
      </w:tr>
      <w:tr>
        <w:tc>
          <w:tcPr>
            <w:tcW w:type="dxa" w:w="201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item_id</w:t>
            </w:r>
          </w:p>
        </w:tc>
        <w:tc>
          <w:tcPr>
            <w:tcW w:type="dxa" w:w="324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Identificator text, stabil, al produsului sau variantei.</w:t>
            </w:r>
          </w:p>
        </w:tc>
        <w:tc>
          <w:tcPr>
            <w:tcW w:type="dxa" w:w="259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SKU / ID produs agreat în proiect.</w:t>
            </w:r>
          </w:p>
        </w:tc>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Nu se folosesc ID-uri temporare, generate doar în interfață.</w:t>
            </w:r>
          </w:p>
        </w:tc>
      </w:tr>
      <w:tr>
        <w:tc>
          <w:tcPr>
            <w:tcW w:type="dxa" w:w="201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id</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Identificator pentru remarketing dinamic, cerut în materialul de referință.</w:t>
            </w:r>
          </w:p>
        </w:tc>
        <w:tc>
          <w:tcPr>
            <w:tcW w:type="dxa" w:w="25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Același identificator agreat cu feed-ul.</w:t>
            </w:r>
          </w:p>
        </w:tc>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corelarea cu Merchant Center înainte de lansare.</w:t>
            </w:r>
          </w:p>
        </w:tc>
      </w:tr>
      <w:tr>
        <w:tc>
          <w:tcPr>
            <w:tcW w:type="dxa" w:w="201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price</w:t>
            </w:r>
          </w:p>
        </w:tc>
        <w:tc>
          <w:tcPr>
            <w:tcW w:type="dxa" w:w="324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Valoare numerică unitară, fără simbol de monedă.</w:t>
            </w:r>
          </w:p>
        </w:tc>
        <w:tc>
          <w:tcPr>
            <w:tcW w:type="dxa" w:w="259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Prețul efectiv al produsului în starea evenimentului.</w:t>
            </w:r>
          </w:p>
        </w:tc>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Se păstrează tip numeric; nu se concatenează cu </w:t>
            </w:r>
            <w:r>
              <w:rPr>
                <w:rFonts w:ascii="Consolas" w:hAnsi="Consolas" w:eastAsia="Consolas"/>
                <w:b w:val="0"/>
                <w:color w:val="1E2430"/>
                <w:sz w:val="15"/>
              </w:rPr>
              <w:t>RON</w:t>
            </w:r>
            <w:r>
              <w:rPr>
                <w:rFonts w:ascii="Aptos" w:hAnsi="Aptos" w:eastAsia="Aptos"/>
                <w:b w:val="0"/>
                <w:color w:val="1E2430"/>
                <w:sz w:val="15"/>
              </w:rPr>
              <w:t>.</w:t>
            </w:r>
          </w:p>
        </w:tc>
      </w:tr>
      <w:tr>
        <w:tc>
          <w:tcPr>
            <w:tcW w:type="dxa" w:w="201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quantity</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Cantitatea aferentă produsului.</w:t>
            </w:r>
          </w:p>
        </w:tc>
        <w:tc>
          <w:tcPr>
            <w:tcW w:type="dxa" w:w="25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Linia curentă de coș sau comandă.</w:t>
            </w:r>
          </w:p>
        </w:tc>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Pentru </w:t>
            </w:r>
            <w:r>
              <w:rPr>
                <w:rFonts w:ascii="Consolas" w:hAnsi="Consolas" w:eastAsia="Consolas"/>
                <w:b w:val="0"/>
                <w:color w:val="1E2430"/>
                <w:sz w:val="15"/>
              </w:rPr>
              <w:t>add_to_cart</w:t>
            </w:r>
            <w:r>
              <w:rPr>
                <w:rFonts w:ascii="Aptos" w:hAnsi="Aptos" w:eastAsia="Aptos"/>
                <w:b w:val="0"/>
                <w:color w:val="1E2430"/>
                <w:sz w:val="15"/>
              </w:rPr>
              <w:t xml:space="preserve"> și </w:t>
            </w:r>
            <w:r>
              <w:rPr>
                <w:rFonts w:ascii="Consolas" w:hAnsi="Consolas" w:eastAsia="Consolas"/>
                <w:b w:val="0"/>
                <w:color w:val="1E2430"/>
                <w:sz w:val="15"/>
              </w:rPr>
              <w:t>remove_from_cart</w:t>
            </w:r>
            <w:r>
              <w:rPr>
                <w:rFonts w:ascii="Aptos" w:hAnsi="Aptos" w:eastAsia="Aptos"/>
                <w:b w:val="0"/>
                <w:color w:val="1E2430"/>
                <w:sz w:val="15"/>
              </w:rPr>
              <w:t>, reflectă operațiunea confirmată; pentru coș/checkout/comandă, reflectă starea totală.</w:t>
            </w:r>
          </w:p>
        </w:tc>
      </w:tr>
      <w:tr>
        <w:tc>
          <w:tcPr>
            <w:tcW w:type="dxa" w:w="2015"/>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item_brand</w:t>
            </w:r>
            <w:r>
              <w:rPr>
                <w:rFonts w:ascii="Aptos" w:hAnsi="Aptos" w:eastAsia="Aptos"/>
                <w:b w:val="0"/>
                <w:color w:val="1E2430"/>
                <w:sz w:val="15"/>
              </w:rPr>
              <w:t xml:space="preserve">, </w:t>
            </w:r>
            <w:r>
              <w:rPr>
                <w:rFonts w:ascii="Consolas" w:hAnsi="Consolas" w:eastAsia="Consolas"/>
                <w:b w:val="0"/>
                <w:color w:val="1E2430"/>
                <w:sz w:val="15"/>
              </w:rPr>
              <w:t>item_category*</w:t>
            </w:r>
            <w:r>
              <w:rPr>
                <w:rFonts w:ascii="Aptos" w:hAnsi="Aptos" w:eastAsia="Aptos"/>
                <w:b w:val="0"/>
                <w:color w:val="1E2430"/>
                <w:sz w:val="15"/>
              </w:rPr>
              <w:t xml:space="preserve">, </w:t>
            </w:r>
            <w:r>
              <w:rPr>
                <w:rFonts w:ascii="Consolas" w:hAnsi="Consolas" w:eastAsia="Consolas"/>
                <w:b w:val="0"/>
                <w:color w:val="1E2430"/>
                <w:sz w:val="15"/>
              </w:rPr>
              <w:t>item_variant</w:t>
            </w:r>
          </w:p>
        </w:tc>
        <w:tc>
          <w:tcPr>
            <w:tcW w:type="dxa" w:w="324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Atribute opționale, dar utile când există date curate în catalog.</w:t>
            </w:r>
          </w:p>
        </w:tc>
        <w:tc>
          <w:tcPr>
            <w:tcW w:type="dxa" w:w="259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Atribute de catalog și variantă.</w:t>
            </w:r>
          </w:p>
        </w:tc>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trimit consecvent, fără a înlocui accidental aceeași categorie cu altă taxonomie.</w:t>
            </w:r>
          </w:p>
        </w:tc>
      </w:tr>
      <w:tr>
        <w:tc>
          <w:tcPr>
            <w:tcW w:type="dxa" w:w="2015"/>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google_business_vertical</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Valoarea solicitată pentru Dynamic Remarketing în documentul-sursă.</w:t>
            </w:r>
          </w:p>
        </w:tc>
        <w:tc>
          <w:tcPr>
            <w:tcW w:type="dxa" w:w="25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Configurare constantă aprobată pentru business.</w:t>
            </w:r>
          </w:p>
        </w:tc>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menține conform configurației campaniilor și feed-ului.</w:t>
            </w:r>
          </w:p>
        </w:tc>
      </w:tr>
    </w:tbl>
    <w:p>
      <w:pPr>
        <w:spacing w:after="0"/>
      </w:pPr>
    </w:p>
    <w:p>
      <w:pPr>
        <w:pStyle w:val="Heading1"/>
        <w:spacing w:before="200" w:after="80"/>
      </w:pPr>
      <w:r>
        <w:t>7. Implementarea lead generation</w:t>
      </w:r>
    </w:p>
    <w:p>
      <w:pPr>
        <w:spacing w:after="100" w:line="259" w:lineRule="auto"/>
      </w:pPr>
      <w:r>
        <w:rPr>
          <w:rFonts w:ascii="Aptos" w:hAnsi="Aptos" w:eastAsia="Aptos"/>
          <w:b w:val="0"/>
          <w:color w:val="1E2430"/>
          <w:sz w:val="19"/>
        </w:rPr>
        <w:t xml:space="preserve">Pentru formulare, evenimentul se emite numai după completarea reușită. În workbook-ul de referință, denumirea evenimentului este </w:t>
      </w:r>
      <w:r>
        <w:rPr>
          <w:rFonts w:ascii="Consolas" w:hAnsi="Consolas" w:eastAsia="Consolas"/>
          <w:b w:val="0"/>
          <w:color w:val="1E2430"/>
          <w:sz w:val="19"/>
        </w:rPr>
        <w:t>generate_lead</w:t>
      </w:r>
      <w:r>
        <w:rPr>
          <w:rFonts w:ascii="Aptos" w:hAnsi="Aptos" w:eastAsia="Aptos"/>
          <w:b w:val="0"/>
          <w:color w:val="1E2430"/>
          <w:sz w:val="19"/>
        </w:rPr>
        <w:t xml:space="preserve">; documentul englez pentru lead generation folosește exemplul </w:t>
      </w:r>
      <w:r>
        <w:rPr>
          <w:rFonts w:ascii="Consolas" w:hAnsi="Consolas" w:eastAsia="Consolas"/>
          <w:b w:val="0"/>
          <w:color w:val="1E2430"/>
          <w:sz w:val="19"/>
        </w:rPr>
        <w:t>form_submit</w:t>
      </w:r>
      <w:r>
        <w:rPr>
          <w:rFonts w:ascii="Aptos" w:hAnsi="Aptos" w:eastAsia="Aptos"/>
          <w:b w:val="0"/>
          <w:color w:val="1E2430"/>
          <w:sz w:val="19"/>
        </w:rPr>
        <w:t xml:space="preserve"> împreună cu </w:t>
      </w:r>
      <w:r>
        <w:rPr>
          <w:rFonts w:ascii="Consolas" w:hAnsi="Consolas" w:eastAsia="Consolas"/>
          <w:b w:val="0"/>
          <w:color w:val="1E2430"/>
          <w:sz w:val="19"/>
        </w:rPr>
        <w:t>transaction_id</w:t>
      </w:r>
      <w:r>
        <w:rPr>
          <w:rFonts w:ascii="Aptos" w:hAnsi="Aptos" w:eastAsia="Aptos"/>
          <w:b w:val="0"/>
          <w:color w:val="1E2430"/>
          <w:sz w:val="19"/>
        </w:rPr>
        <w:t>. Înainte de dezvoltare, se confirmă denumirea utilizată în containerul Google Tag Manager. Nu se emit ambele denumiri pentru aceeași trimitere, decât dacă există o cerință explicită și testată în configurație. [1] [3]</w:t>
      </w:r>
    </w:p>
    <w:tbl>
      <w:tblPr>
        <w:tblStyle w:val="TableGrid"/>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180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Element</w:t>
            </w:r>
          </w:p>
        </w:tc>
        <w:tc>
          <w:tcPr>
            <w:tcW w:type="dxa" w:w="316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Ce trebuie făcut</w:t>
            </w:r>
          </w:p>
        </w:tc>
        <w:tc>
          <w:tcPr>
            <w:tcW w:type="dxa" w:w="2736"/>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De ce este necesar</w:t>
            </w:r>
          </w:p>
        </w:tc>
        <w:tc>
          <w:tcPr>
            <w:tcW w:type="dxa" w:w="187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Control de acceptanță</w:t>
            </w:r>
          </w:p>
        </w:tc>
      </w:tr>
      <w:tr>
        <w:tc>
          <w:tcPr>
            <w:tcW w:type="dxa" w:w="18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Trigger</w:t>
            </w:r>
          </w:p>
        </w:tc>
        <w:tc>
          <w:tcPr>
            <w:tcW w:type="dxa" w:w="316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leagă de răspunsul reușit al formularului, nu doar de click-ul pe buton.</w:t>
            </w:r>
          </w:p>
        </w:tc>
        <w:tc>
          <w:tcPr>
            <w:tcW w:type="dxa" w:w="273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Previne înregistrarea unui lead invalid, blocat de validare sau respins de backend.</w:t>
            </w:r>
          </w:p>
        </w:tc>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Nu apare eveniment pentru formular invalid sau pentru un request cu eroare.</w:t>
            </w:r>
          </w:p>
        </w:tc>
      </w:tr>
      <w:tr>
        <w:tc>
          <w:tcPr>
            <w:tcW w:type="dxa" w:w="180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email</w:t>
            </w:r>
          </w:p>
        </w:tc>
        <w:tc>
          <w:tcPr>
            <w:tcW w:type="dxa" w:w="316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preia din valoarea completată și acceptată; nu se scrie static.</w:t>
            </w:r>
          </w:p>
        </w:tc>
        <w:tc>
          <w:tcPr>
            <w:tcW w:type="dxa" w:w="273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Este câmpul de date de contact indicat în materialele sursă pentru Enhanced Conversions.</w:t>
            </w:r>
          </w:p>
        </w:tc>
        <w:tc>
          <w:tcPr>
            <w:tcW w:type="dxa" w:w="187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Valoarea este prezentă numai după submit reușit și respectă fluxul de consent configurat.</w:t>
            </w:r>
          </w:p>
        </w:tc>
      </w:tr>
      <w:tr>
        <w:tc>
          <w:tcPr>
            <w:tcW w:type="dxa" w:w="18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phone</w:t>
            </w:r>
            <w:r>
              <w:rPr>
                <w:rFonts w:ascii="Aptos" w:hAnsi="Aptos" w:eastAsia="Aptos"/>
                <w:b w:val="0"/>
                <w:color w:val="1E2430"/>
                <w:sz w:val="15"/>
              </w:rPr>
              <w:t xml:space="preserve"> / </w:t>
            </w:r>
            <w:r>
              <w:rPr>
                <w:rFonts w:ascii="Consolas" w:hAnsi="Consolas" w:eastAsia="Consolas"/>
                <w:b w:val="0"/>
                <w:color w:val="1E2430"/>
                <w:sz w:val="15"/>
              </w:rPr>
              <w:t>phone_number</w:t>
            </w:r>
          </w:p>
        </w:tc>
        <w:tc>
          <w:tcPr>
            <w:tcW w:type="dxa" w:w="316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păstrează câmpul solicitat de configurația actuală; numărul trebuie normalizat conform regulii proiectului, iar documentul sursă pentru Google Ads indică format E.164. [3]</w:t>
            </w:r>
          </w:p>
        </w:tc>
        <w:tc>
          <w:tcPr>
            <w:tcW w:type="dxa" w:w="273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Asigură o valoare de contact consistentă pentru mapping.</w:t>
            </w:r>
          </w:p>
        </w:tc>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validează formatul în preview; nu se transmit valori de exemplu.</w:t>
            </w:r>
          </w:p>
        </w:tc>
      </w:tr>
      <w:tr>
        <w:tc>
          <w:tcPr>
            <w:tcW w:type="dxa" w:w="180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lead_source</w:t>
            </w:r>
          </w:p>
        </w:tc>
        <w:tc>
          <w:tcPr>
            <w:tcW w:type="dxa" w:w="316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populează din sursa URL sau din logica de atribuire agreată.</w:t>
            </w:r>
          </w:p>
        </w:tc>
        <w:tc>
          <w:tcPr>
            <w:tcW w:type="dxa" w:w="273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Oferă context despre proveniența lead-ului, fără să înlocuiască UTM-urile native.</w:t>
            </w:r>
          </w:p>
        </w:tc>
        <w:tc>
          <w:tcPr>
            <w:tcW w:type="dxa" w:w="187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testează cu un URL cu parametru de sursă și fără parametru.</w:t>
            </w:r>
          </w:p>
        </w:tc>
      </w:tr>
      <w:tr>
        <w:tc>
          <w:tcPr>
            <w:tcW w:type="dxa" w:w="180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transaction_id</w:t>
            </w:r>
          </w:p>
        </w:tc>
        <w:tc>
          <w:tcPr>
            <w:tcW w:type="dxa" w:w="316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folosește dacă este cerut de tag-ul de conversie sau dacă este disponibil un ID unic de submit.</w:t>
            </w:r>
          </w:p>
        </w:tc>
        <w:tc>
          <w:tcPr>
            <w:tcW w:type="dxa" w:w="273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Ajută la deduplicare, conform documentului Lead Gen.</w:t>
            </w:r>
          </w:p>
        </w:tc>
        <w:tc>
          <w:tcPr>
            <w:tcW w:type="dxa" w:w="187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Aceeași trimitere nu generează două conversii în cazul reîncărcării sau revenirii în pagină.</w:t>
            </w:r>
          </w:p>
        </w:tc>
      </w:tr>
    </w:tbl>
    <w:p>
      <w:pPr>
        <w:spacing w:after="0"/>
      </w:pPr>
    </w:p>
    <w:p>
      <w:pPr>
        <w:pStyle w:val="Heading1"/>
        <w:spacing w:before="200" w:after="80"/>
      </w:pPr>
      <w:r>
        <w:t>8. Enhanced Conversions și date de utilizator</w:t>
      </w:r>
    </w:p>
    <w:p>
      <w:pPr>
        <w:spacing w:after="100" w:line="259" w:lineRule="auto"/>
      </w:pPr>
      <w:r>
        <w:rPr>
          <w:rFonts w:ascii="Aptos" w:hAnsi="Aptos" w:eastAsia="Aptos"/>
          <w:b w:val="0"/>
          <w:color w:val="1E2430"/>
          <w:sz w:val="19"/>
        </w:rPr>
        <w:t xml:space="preserve">Materialele de referință includ date de utilizator pentru Enhanced Conversions. Pentru e-commerce, sunt prevăzute </w:t>
      </w:r>
      <w:r>
        <w:rPr>
          <w:rFonts w:ascii="Consolas" w:hAnsi="Consolas" w:eastAsia="Consolas"/>
          <w:b w:val="0"/>
          <w:color w:val="1E2430"/>
          <w:sz w:val="19"/>
        </w:rPr>
        <w:t>email</w:t>
      </w:r>
      <w:r>
        <w:rPr>
          <w:rFonts w:ascii="Aptos" w:hAnsi="Aptos" w:eastAsia="Aptos"/>
          <w:b w:val="0"/>
          <w:color w:val="1E2430"/>
          <w:sz w:val="19"/>
        </w:rPr>
        <w:t xml:space="preserve">, </w:t>
      </w:r>
      <w:r>
        <w:rPr>
          <w:rFonts w:ascii="Consolas" w:hAnsi="Consolas" w:eastAsia="Consolas"/>
          <w:b w:val="0"/>
          <w:color w:val="1E2430"/>
          <w:sz w:val="19"/>
        </w:rPr>
        <w:t>phone_number</w:t>
      </w:r>
      <w:r>
        <w:rPr>
          <w:rFonts w:ascii="Aptos" w:hAnsi="Aptos" w:eastAsia="Aptos"/>
          <w:b w:val="0"/>
          <w:color w:val="1E2430"/>
          <w:sz w:val="19"/>
        </w:rPr>
        <w:t xml:space="preserve"> și, opțional, câmpuri de adresă precum </w:t>
      </w:r>
      <w:r>
        <w:rPr>
          <w:rFonts w:ascii="Consolas" w:hAnsi="Consolas" w:eastAsia="Consolas"/>
          <w:b w:val="0"/>
          <w:color w:val="1E2430"/>
          <w:sz w:val="19"/>
        </w:rPr>
        <w:t>first_name</w:t>
      </w:r>
      <w:r>
        <w:rPr>
          <w:rFonts w:ascii="Aptos" w:hAnsi="Aptos" w:eastAsia="Aptos"/>
          <w:b w:val="0"/>
          <w:color w:val="1E2430"/>
          <w:sz w:val="19"/>
        </w:rPr>
        <w:t xml:space="preserve">, </w:t>
      </w:r>
      <w:r>
        <w:rPr>
          <w:rFonts w:ascii="Consolas" w:hAnsi="Consolas" w:eastAsia="Consolas"/>
          <w:b w:val="0"/>
          <w:color w:val="1E2430"/>
          <w:sz w:val="19"/>
        </w:rPr>
        <w:t>last_name</w:t>
      </w:r>
      <w:r>
        <w:rPr>
          <w:rFonts w:ascii="Aptos" w:hAnsi="Aptos" w:eastAsia="Aptos"/>
          <w:b w:val="0"/>
          <w:color w:val="1E2430"/>
          <w:sz w:val="19"/>
        </w:rPr>
        <w:t xml:space="preserve">, </w:t>
      </w:r>
      <w:r>
        <w:rPr>
          <w:rFonts w:ascii="Consolas" w:hAnsi="Consolas" w:eastAsia="Consolas"/>
          <w:b w:val="0"/>
          <w:color w:val="1E2430"/>
          <w:sz w:val="19"/>
        </w:rPr>
        <w:t>street</w:t>
      </w:r>
      <w:r>
        <w:rPr>
          <w:rFonts w:ascii="Aptos" w:hAnsi="Aptos" w:eastAsia="Aptos"/>
          <w:b w:val="0"/>
          <w:color w:val="1E2430"/>
          <w:sz w:val="19"/>
        </w:rPr>
        <w:t xml:space="preserve">, </w:t>
      </w:r>
      <w:r>
        <w:rPr>
          <w:rFonts w:ascii="Consolas" w:hAnsi="Consolas" w:eastAsia="Consolas"/>
          <w:b w:val="0"/>
          <w:color w:val="1E2430"/>
          <w:sz w:val="19"/>
        </w:rPr>
        <w:t>city</w:t>
      </w:r>
      <w:r>
        <w:rPr>
          <w:rFonts w:ascii="Aptos" w:hAnsi="Aptos" w:eastAsia="Aptos"/>
          <w:b w:val="0"/>
          <w:color w:val="1E2430"/>
          <w:sz w:val="19"/>
        </w:rPr>
        <w:t xml:space="preserve">, </w:t>
      </w:r>
      <w:r>
        <w:rPr>
          <w:rFonts w:ascii="Consolas" w:hAnsi="Consolas" w:eastAsia="Consolas"/>
          <w:b w:val="0"/>
          <w:color w:val="1E2430"/>
          <w:sz w:val="19"/>
        </w:rPr>
        <w:t>region</w:t>
      </w:r>
      <w:r>
        <w:rPr>
          <w:rFonts w:ascii="Aptos" w:hAnsi="Aptos" w:eastAsia="Aptos"/>
          <w:b w:val="0"/>
          <w:color w:val="1E2430"/>
          <w:sz w:val="19"/>
        </w:rPr>
        <w:t xml:space="preserve">, </w:t>
      </w:r>
      <w:r>
        <w:rPr>
          <w:rFonts w:ascii="Consolas" w:hAnsi="Consolas" w:eastAsia="Consolas"/>
          <w:b w:val="0"/>
          <w:color w:val="1E2430"/>
          <w:sz w:val="19"/>
        </w:rPr>
        <w:t>postal_code</w:t>
      </w:r>
      <w:r>
        <w:rPr>
          <w:rFonts w:ascii="Aptos" w:hAnsi="Aptos" w:eastAsia="Aptos"/>
          <w:b w:val="0"/>
          <w:color w:val="1E2430"/>
          <w:sz w:val="19"/>
        </w:rPr>
        <w:t xml:space="preserve"> și </w:t>
      </w:r>
      <w:r>
        <w:rPr>
          <w:rFonts w:ascii="Consolas" w:hAnsi="Consolas" w:eastAsia="Consolas"/>
          <w:b w:val="0"/>
          <w:color w:val="1E2430"/>
          <w:sz w:val="19"/>
        </w:rPr>
        <w:t>country</w:t>
      </w:r>
      <w:r>
        <w:rPr>
          <w:rFonts w:ascii="Aptos" w:hAnsi="Aptos" w:eastAsia="Aptos"/>
          <w:b w:val="0"/>
          <w:color w:val="1E2430"/>
          <w:sz w:val="19"/>
        </w:rPr>
        <w:t xml:space="preserve">. Pentru lead generation, sunt prevăzute </w:t>
      </w:r>
      <w:r>
        <w:rPr>
          <w:rFonts w:ascii="Consolas" w:hAnsi="Consolas" w:eastAsia="Consolas"/>
          <w:b w:val="0"/>
          <w:color w:val="1E2430"/>
          <w:sz w:val="19"/>
        </w:rPr>
        <w:t>email</w:t>
      </w:r>
      <w:r>
        <w:rPr>
          <w:rFonts w:ascii="Aptos" w:hAnsi="Aptos" w:eastAsia="Aptos"/>
          <w:b w:val="0"/>
          <w:color w:val="1E2430"/>
          <w:sz w:val="19"/>
        </w:rPr>
        <w:t xml:space="preserve"> și </w:t>
      </w:r>
      <w:r>
        <w:rPr>
          <w:rFonts w:ascii="Consolas" w:hAnsi="Consolas" w:eastAsia="Consolas"/>
          <w:b w:val="0"/>
          <w:color w:val="1E2430"/>
          <w:sz w:val="19"/>
        </w:rPr>
        <w:t>phone_number</w:t>
      </w:r>
      <w:r>
        <w:rPr>
          <w:rFonts w:ascii="Aptos" w:hAnsi="Aptos" w:eastAsia="Aptos"/>
          <w:b w:val="0"/>
          <w:color w:val="1E2430"/>
          <w:sz w:val="19"/>
        </w:rPr>
        <w:t>. Implementarea nu trebuie să hardcodeze date personale; valorile se expun numai din date dinamice disponibile în client și în cadrul setărilor de consimțământ aprobate. [2] [3]</w:t>
      </w:r>
    </w:p>
    <w:tbl>
      <w:tblPr>
        <w:tblW w:type="auto" w:w="0"/>
        <w:jc w:val="center"/>
        <w:tblLayout w:type="autofit"/>
        <w:tblLook w:firstColumn="1" w:firstRow="1" w:lastColumn="0" w:lastRow="0" w:noHBand="0" w:noVBand="1" w:val="04A0"/>
      </w:tblPr>
      <w:tblGrid>
        <w:gridCol w:w="10454"/>
      </w:tblGrid>
      <w:tr>
        <w:tc>
          <w:tcPr>
            <w:tcW w:type="dxa" w:w="10454"/>
            <w:shd w:fill="FFF7E6" w:val="clear"/>
            <w:tcBorders>
              <w:top w:val="single" w:sz="12" w:space="0" w:color="D69B2D"/>
              <w:left w:val="single" w:sz="12" w:space="0" w:color="D69B2D"/>
              <w:bottom w:val="single" w:sz="12" w:space="0" w:color="D69B2D"/>
              <w:right w:val="single" w:sz="12" w:space="0" w:color="D69B2D"/>
            </w:tcBorders>
            <w:tcMar>
              <w:top w:w="120" w:type="dxa"/>
              <w:start w:w="160" w:type="dxa"/>
              <w:bottom w:w="120" w:type="dxa"/>
              <w:end w:w="160" w:type="dxa"/>
            </w:tcMar>
          </w:tcPr>
          <w:p>
            <w:pPr>
              <w:spacing w:after="80" w:line="259" w:lineRule="auto"/>
            </w:pPr>
            <w:r/>
            <w:r>
              <w:rPr>
                <w:rFonts w:ascii="Aptos" w:hAnsi="Aptos" w:eastAsia="Aptos"/>
                <w:b/>
                <w:color w:val="1D2F50"/>
                <w:sz w:val="18"/>
              </w:rPr>
              <w:t xml:space="preserve">Atenție: </w:t>
            </w:r>
            <w:r>
              <w:rPr>
                <w:rFonts w:ascii="Aptos" w:hAnsi="Aptos" w:eastAsia="Aptos"/>
                <w:b w:val="0"/>
                <w:color w:val="1E2430"/>
                <w:sz w:val="18"/>
              </w:rPr>
              <w:t>Nu se introduce în documentație sau în implementare o listă de date personale de test. Când se testează, se utilizează un scenariu controlat și se verifică doar că variabilele se populează corect în mediul de preview.</w:t>
            </w:r>
          </w:p>
        </w:tc>
      </w:tr>
    </w:tbl>
    <w:p>
      <w:pPr>
        <w:spacing w:after="0"/>
      </w:pPr>
    </w:p>
    <w:p>
      <w:pPr>
        <w:pStyle w:val="Heading1"/>
        <w:spacing w:before="200" w:after="80"/>
      </w:pPr>
      <w:r>
        <w:t>9. Puncte care trebuie confirmate înainte de dezvoltare</w:t>
      </w:r>
    </w:p>
    <w:p>
      <w:pPr>
        <w:spacing w:after="100" w:line="259" w:lineRule="auto"/>
      </w:pPr>
      <w:r>
        <w:rPr>
          <w:rFonts w:ascii="Aptos" w:hAnsi="Aptos" w:eastAsia="Aptos"/>
          <w:b w:val="0"/>
          <w:color w:val="1E2430"/>
          <w:sz w:val="19"/>
        </w:rPr>
        <w:t>Sursele furnizate conțin reprezentări diferite pentru unele câmpuri. Acestea nu sunt erori de implementare, ci decizii care trebuie aliniate cu setarea reală din Google Tag Manager și cu platforma. Nu se recomandă ghicirea unei convenții sau implementarea ambelor variante fără o nevoie clară.</w:t>
      </w:r>
    </w:p>
    <w:tbl>
      <w:tblPr>
        <w:tblStyle w:val="TableGrid"/>
        <w:tblW w:type="auto" w:w="0"/>
        <w:jc w:val="center"/>
        <w:tblLayout w:type="fixed"/>
        <w:tblLook w:firstColumn="1" w:firstRow="1" w:lastColumn="0" w:lastRow="0" w:noHBand="0" w:noVBand="1" w:val="04A0"/>
      </w:tblPr>
      <w:tblGrid>
        <w:gridCol w:w="2613"/>
        <w:gridCol w:w="2613"/>
        <w:gridCol w:w="2613"/>
        <w:gridCol w:w="2613"/>
      </w:tblGrid>
      <w:tr>
        <w:trPr>
          <w:tblHeader w:val="true"/>
        </w:trPr>
        <w:tc>
          <w:tcPr>
            <w:tcW w:type="dxa" w:w="172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Subiect</w:t>
            </w:r>
          </w:p>
        </w:tc>
        <w:tc>
          <w:tcPr>
            <w:tcW w:type="dxa" w:w="324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Variante din documentele-sursă</w:t>
            </w:r>
          </w:p>
        </w:tc>
        <w:tc>
          <w:tcPr>
            <w:tcW w:type="dxa" w:w="244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Decizia necesară</w:t>
            </w:r>
          </w:p>
        </w:tc>
        <w:tc>
          <w:tcPr>
            <w:tcW w:type="dxa" w:w="2160"/>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Regulă după decizie</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Eveniment lead</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generate_lead</w:t>
            </w:r>
            <w:r>
              <w:rPr>
                <w:rFonts w:ascii="Aptos" w:hAnsi="Aptos" w:eastAsia="Aptos"/>
                <w:b w:val="0"/>
                <w:color w:val="1E2430"/>
                <w:sz w:val="15"/>
              </w:rPr>
              <w:t xml:space="preserve"> în Excel; </w:t>
            </w:r>
            <w:r>
              <w:rPr>
                <w:rFonts w:ascii="Consolas" w:hAnsi="Consolas" w:eastAsia="Consolas"/>
                <w:b w:val="0"/>
                <w:color w:val="1E2430"/>
                <w:sz w:val="15"/>
              </w:rPr>
              <w:t>form_submit</w:t>
            </w:r>
            <w:r>
              <w:rPr>
                <w:rFonts w:ascii="Aptos" w:hAnsi="Aptos" w:eastAsia="Aptos"/>
                <w:b w:val="0"/>
                <w:color w:val="1E2430"/>
                <w:sz w:val="15"/>
              </w:rPr>
              <w:t xml:space="preserve"> în documentul Lead Gen.</w:t>
            </w:r>
          </w:p>
        </w:tc>
        <w:tc>
          <w:tcPr>
            <w:tcW w:type="dxa" w:w="244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trigger-ul utilizat de containerul GTM pentru formular.</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transmite o singură denumire pentru aceeași trimitere, conform mapping-ului agreat.</w:t>
            </w:r>
          </w:p>
        </w:tc>
      </w:tr>
      <w:tr>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Client nou / recurent</w:t>
            </w:r>
          </w:p>
        </w:tc>
        <w:tc>
          <w:tcPr>
            <w:tcW w:type="dxa" w:w="324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new_customer</w:t>
            </w:r>
            <w:r>
              <w:rPr>
                <w:rFonts w:ascii="Aptos" w:hAnsi="Aptos" w:eastAsia="Aptos"/>
                <w:b w:val="0"/>
                <w:color w:val="1E2430"/>
                <w:sz w:val="15"/>
              </w:rPr>
              <w:t xml:space="preserve"> boolean în Excel; </w:t>
            </w:r>
            <w:r>
              <w:rPr>
                <w:rFonts w:ascii="Consolas" w:hAnsi="Consolas" w:eastAsia="Consolas"/>
                <w:b w:val="0"/>
                <w:color w:val="1E2430"/>
                <w:sz w:val="15"/>
              </w:rPr>
              <w:t>customer_type</w:t>
            </w:r>
            <w:r>
              <w:rPr>
                <w:rFonts w:ascii="Aptos" w:hAnsi="Aptos" w:eastAsia="Aptos"/>
                <w:b w:val="0"/>
                <w:color w:val="1E2430"/>
                <w:sz w:val="15"/>
              </w:rPr>
              <w:t xml:space="preserve"> cu valori </w:t>
            </w:r>
            <w:r>
              <w:rPr>
                <w:rFonts w:ascii="Consolas" w:hAnsi="Consolas" w:eastAsia="Consolas"/>
                <w:b w:val="0"/>
                <w:color w:val="1E2430"/>
                <w:sz w:val="15"/>
              </w:rPr>
              <w:t>new</w:t>
            </w:r>
            <w:r>
              <w:rPr>
                <w:rFonts w:ascii="Aptos" w:hAnsi="Aptos" w:eastAsia="Aptos"/>
                <w:b w:val="0"/>
                <w:color w:val="1E2430"/>
                <w:sz w:val="15"/>
              </w:rPr>
              <w:t xml:space="preserve"> / </w:t>
            </w:r>
            <w:r>
              <w:rPr>
                <w:rFonts w:ascii="Consolas" w:hAnsi="Consolas" w:eastAsia="Consolas"/>
                <w:b w:val="0"/>
                <w:color w:val="1E2430"/>
                <w:sz w:val="15"/>
              </w:rPr>
              <w:t>returning</w:t>
            </w:r>
            <w:r>
              <w:rPr>
                <w:rFonts w:ascii="Aptos" w:hAnsi="Aptos" w:eastAsia="Aptos"/>
                <w:b w:val="0"/>
                <w:color w:val="1E2430"/>
                <w:sz w:val="15"/>
              </w:rPr>
              <w:t xml:space="preserve"> în documentele engleze.</w:t>
            </w:r>
          </w:p>
        </w:tc>
        <w:tc>
          <w:tcPr>
            <w:tcW w:type="dxa" w:w="244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parametrul consumat de tag-uri și platformele de raportare.</w:t>
            </w:r>
          </w:p>
        </w:tc>
        <w:tc>
          <w:tcPr>
            <w:tcW w:type="dxa" w:w="216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păstrează forma cerută de configurația activă; nu se dublează inutil aceeași informație.</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Telefon lead</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phone</w:t>
            </w:r>
            <w:r>
              <w:rPr>
                <w:rFonts w:ascii="Aptos" w:hAnsi="Aptos" w:eastAsia="Aptos"/>
                <w:b w:val="0"/>
                <w:color w:val="1E2430"/>
                <w:sz w:val="15"/>
              </w:rPr>
              <w:t xml:space="preserve"> în Excel; </w:t>
            </w:r>
            <w:r>
              <w:rPr>
                <w:rFonts w:ascii="Consolas" w:hAnsi="Consolas" w:eastAsia="Consolas"/>
                <w:b w:val="0"/>
                <w:color w:val="1E2430"/>
                <w:sz w:val="15"/>
              </w:rPr>
              <w:t>phone_number</w:t>
            </w:r>
            <w:r>
              <w:rPr>
                <w:rFonts w:ascii="Aptos" w:hAnsi="Aptos" w:eastAsia="Aptos"/>
                <w:b w:val="0"/>
                <w:color w:val="1E2430"/>
                <w:sz w:val="15"/>
              </w:rPr>
              <w:t xml:space="preserve"> în documentul Lead Gen.</w:t>
            </w:r>
          </w:p>
        </w:tc>
        <w:tc>
          <w:tcPr>
            <w:tcW w:type="dxa" w:w="244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cheia mapată în GTM / Google Ads.</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normalizează și se transmite cheia unică agreată pentru acel flux.</w:t>
            </w:r>
          </w:p>
        </w:tc>
      </w:tr>
      <w:tr>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id</w:t>
            </w:r>
            <w:r>
              <w:rPr>
                <w:rFonts w:ascii="Aptos" w:hAnsi="Aptos" w:eastAsia="Aptos"/>
                <w:b w:val="0"/>
                <w:color w:val="1E2430"/>
                <w:sz w:val="15"/>
              </w:rPr>
              <w:t xml:space="preserve"> și </w:t>
            </w:r>
            <w:r>
              <w:rPr>
                <w:rFonts w:ascii="Consolas" w:hAnsi="Consolas" w:eastAsia="Consolas"/>
                <w:b w:val="0"/>
                <w:color w:val="1E2430"/>
                <w:sz w:val="15"/>
              </w:rPr>
              <w:t>item_id</w:t>
            </w:r>
          </w:p>
        </w:tc>
        <w:tc>
          <w:tcPr>
            <w:tcW w:type="dxa" w:w="324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Ambele sunt cerute în Excel pentru Dynamic Remarketing.</w:t>
            </w:r>
          </w:p>
        </w:tc>
        <w:tc>
          <w:tcPr>
            <w:tcW w:type="dxa" w:w="244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dacă ambele au aceeași sursă și dacă identificatorul corespunde feed-ului.</w:t>
            </w:r>
          </w:p>
        </w:tc>
        <w:tc>
          <w:tcPr>
            <w:tcW w:type="dxa" w:w="2160"/>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menține aceeași convenție pe toate evenimentele care conțin produse.</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Metoda de implementare</w:t>
            </w:r>
          </w:p>
        </w:tc>
        <w:tc>
          <w:tcPr>
            <w:tcW w:type="dxa" w:w="324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dataLayer</w:t>
            </w:r>
            <w:r>
              <w:rPr>
                <w:rFonts w:ascii="Aptos" w:hAnsi="Aptos" w:eastAsia="Aptos"/>
                <w:b w:val="0"/>
                <w:color w:val="1E2430"/>
                <w:sz w:val="15"/>
              </w:rPr>
              <w:t xml:space="preserve"> prin GTM sau </w:t>
            </w:r>
            <w:r>
              <w:rPr>
                <w:rFonts w:ascii="Consolas" w:hAnsi="Consolas" w:eastAsia="Consolas"/>
                <w:b w:val="0"/>
                <w:color w:val="1E2430"/>
                <w:sz w:val="15"/>
              </w:rPr>
              <w:t>gtag</w:t>
            </w:r>
            <w:r>
              <w:rPr>
                <w:rFonts w:ascii="Aptos" w:hAnsi="Aptos" w:eastAsia="Aptos"/>
                <w:b w:val="0"/>
                <w:color w:val="1E2430"/>
                <w:sz w:val="15"/>
              </w:rPr>
              <w:t xml:space="preserve"> direct în documentele engleze.</w:t>
            </w:r>
          </w:p>
        </w:tc>
        <w:tc>
          <w:tcPr>
            <w:tcW w:type="dxa" w:w="244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confirmă mecanismul prezent în website.</w:t>
            </w:r>
          </w:p>
        </w:tc>
        <w:tc>
          <w:tcPr>
            <w:tcW w:type="dxa" w:w="2160"/>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evită implementarea paralelă a aceleiași conversii prin două mecanisme.</w:t>
            </w:r>
          </w:p>
        </w:tc>
      </w:tr>
    </w:tbl>
    <w:p>
      <w:pPr>
        <w:spacing w:after="0"/>
      </w:pPr>
    </w:p>
    <w:p>
      <w:pPr>
        <w:pStyle w:val="Heading1"/>
        <w:spacing w:before="200" w:after="80"/>
      </w:pPr>
      <w:r>
        <w:t>10. Testare și criterii de acceptanță</w:t>
      </w:r>
    </w:p>
    <w:p>
      <w:pPr>
        <w:spacing w:after="100" w:line="259" w:lineRule="auto"/>
      </w:pPr>
      <w:r>
        <w:rPr>
          <w:rFonts w:ascii="Aptos" w:hAnsi="Aptos" w:eastAsia="Aptos"/>
          <w:b w:val="0"/>
          <w:color w:val="1E2430"/>
          <w:sz w:val="19"/>
        </w:rPr>
        <w:t xml:space="preserve">Testarea se face în environment de staging, dacă există, iar apoi pe website-ul live într-un scenariu controlat. Se utilizează modul Preview din Google Tag Manager și Tag Assistant pentru a observa </w:t>
      </w:r>
      <w:r>
        <w:rPr>
          <w:rFonts w:ascii="Consolas" w:hAnsi="Consolas" w:eastAsia="Consolas"/>
          <w:b w:val="0"/>
          <w:color w:val="1E2430"/>
          <w:sz w:val="19"/>
        </w:rPr>
        <w:t>dataLayer</w:t>
      </w:r>
      <w:r>
        <w:rPr>
          <w:rFonts w:ascii="Aptos" w:hAnsi="Aptos" w:eastAsia="Aptos"/>
          <w:b w:val="0"/>
          <w:color w:val="1E2430"/>
          <w:sz w:val="19"/>
        </w:rPr>
        <w:t>, trigger-ele și tag-urile care se activează. [2] [3]</w:t>
      </w:r>
    </w:p>
    <w:tbl>
      <w:tblPr>
        <w:tblStyle w:val="TableGrid"/>
        <w:tblW w:type="auto" w:w="0"/>
        <w:jc w:val="center"/>
        <w:tblLayout w:type="fixed"/>
        <w:tblLook w:firstColumn="1" w:firstRow="1" w:lastColumn="0" w:lastRow="0" w:noHBand="0" w:noVBand="1" w:val="04A0"/>
      </w:tblPr>
      <w:tblGrid>
        <w:gridCol w:w="3485"/>
        <w:gridCol w:w="3485"/>
        <w:gridCol w:w="3485"/>
      </w:tblGrid>
      <w:tr>
        <w:trPr>
          <w:tblHeader w:val="true"/>
        </w:trPr>
        <w:tc>
          <w:tcPr>
            <w:tcW w:type="dxa" w:w="1728"/>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Scenariu de test</w:t>
            </w:r>
          </w:p>
        </w:tc>
        <w:tc>
          <w:tcPr>
            <w:tcW w:type="dxa" w:w="3816"/>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Ce verifică dezvoltatorul</w:t>
            </w:r>
          </w:p>
        </w:tc>
        <w:tc>
          <w:tcPr>
            <w:tcW w:type="dxa" w:w="4031"/>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Rezultat acceptat</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Listă produse</w:t>
            </w:r>
          </w:p>
        </w:tc>
        <w:tc>
          <w:tcPr>
            <w:tcW w:type="dxa" w:w="381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schimbă pagina de categorie / căutare și se verifică lista de produse vizibilă.</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view_item_list</w:t>
            </w:r>
            <w:r>
              <w:rPr>
                <w:rFonts w:ascii="Aptos" w:hAnsi="Aptos" w:eastAsia="Aptos"/>
                <w:b w:val="0"/>
                <w:color w:val="1E2430"/>
                <w:sz w:val="15"/>
              </w:rPr>
              <w:t xml:space="preserve"> conține produsele corecte, poziția și identificatorii stabili.</w:t>
            </w:r>
          </w:p>
        </w:tc>
      </w:tr>
      <w:tr>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Pagină produs</w:t>
            </w:r>
          </w:p>
        </w:tc>
        <w:tc>
          <w:tcPr>
            <w:tcW w:type="dxa" w:w="381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deschide produsul și se schimbă varianta, dacă există.</w:t>
            </w:r>
          </w:p>
        </w:tc>
        <w:tc>
          <w:tcPr>
            <w:tcW w:type="dxa" w:w="403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view_item</w:t>
            </w:r>
            <w:r>
              <w:rPr>
                <w:rFonts w:ascii="Aptos" w:hAnsi="Aptos" w:eastAsia="Aptos"/>
                <w:b w:val="0"/>
                <w:color w:val="1E2430"/>
                <w:sz w:val="15"/>
              </w:rPr>
              <w:t xml:space="preserve"> reflectă produsul/varianta afișată, cu preț și monedă corecte.</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Coș</w:t>
            </w:r>
          </w:p>
        </w:tc>
        <w:tc>
          <w:tcPr>
            <w:tcW w:type="dxa" w:w="381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adaugă, se elimină și se vizualizează produse.</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 xml:space="preserve">Fiecare eveniment de coș se emite după succes și </w:t>
            </w:r>
            <w:r>
              <w:rPr>
                <w:rFonts w:ascii="Consolas" w:hAnsi="Consolas" w:eastAsia="Consolas"/>
                <w:b w:val="0"/>
                <w:color w:val="1E2430"/>
                <w:sz w:val="15"/>
              </w:rPr>
              <w:t>items[]</w:t>
            </w:r>
            <w:r>
              <w:rPr>
                <w:rFonts w:ascii="Aptos" w:hAnsi="Aptos" w:eastAsia="Aptos"/>
                <w:b w:val="0"/>
                <w:color w:val="1E2430"/>
                <w:sz w:val="15"/>
              </w:rPr>
              <w:t xml:space="preserve"> corespunde operațiunii sau stării curente.</w:t>
            </w:r>
          </w:p>
        </w:tc>
      </w:tr>
      <w:tr>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Checkout</w:t>
            </w:r>
          </w:p>
        </w:tc>
        <w:tc>
          <w:tcPr>
            <w:tcW w:type="dxa" w:w="381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intră în checkout, se schimbă transportul și plata.</w:t>
            </w:r>
          </w:p>
        </w:tc>
        <w:tc>
          <w:tcPr>
            <w:tcW w:type="dxa" w:w="403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begin_checkout</w:t>
            </w:r>
            <w:r>
              <w:rPr>
                <w:rFonts w:ascii="Aptos" w:hAnsi="Aptos" w:eastAsia="Aptos"/>
                <w:b w:val="0"/>
                <w:color w:val="1E2430"/>
                <w:sz w:val="15"/>
              </w:rPr>
              <w:t xml:space="preserve">, </w:t>
            </w:r>
            <w:r>
              <w:rPr>
                <w:rFonts w:ascii="Consolas" w:hAnsi="Consolas" w:eastAsia="Consolas"/>
                <w:b w:val="0"/>
                <w:color w:val="1E2430"/>
                <w:sz w:val="15"/>
              </w:rPr>
              <w:t>add_shipping_info</w:t>
            </w:r>
            <w:r>
              <w:rPr>
                <w:rFonts w:ascii="Aptos" w:hAnsi="Aptos" w:eastAsia="Aptos"/>
                <w:b w:val="0"/>
                <w:color w:val="1E2430"/>
                <w:sz w:val="15"/>
              </w:rPr>
              <w:t xml:space="preserve"> și </w:t>
            </w:r>
            <w:r>
              <w:rPr>
                <w:rFonts w:ascii="Consolas" w:hAnsi="Consolas" w:eastAsia="Consolas"/>
                <w:b w:val="0"/>
                <w:color w:val="1E2430"/>
                <w:sz w:val="15"/>
              </w:rPr>
              <w:t>add_payment_info</w:t>
            </w:r>
            <w:r>
              <w:rPr>
                <w:rFonts w:ascii="Aptos" w:hAnsi="Aptos" w:eastAsia="Aptos"/>
                <w:b w:val="0"/>
                <w:color w:val="1E2430"/>
                <w:sz w:val="15"/>
              </w:rPr>
              <w:t xml:space="preserve"> apar la momentele definite, cu metodele actuale.</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Comandă</w:t>
            </w:r>
          </w:p>
        </w:tc>
        <w:tc>
          <w:tcPr>
            <w:tcW w:type="dxa" w:w="381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finalizează o comandă de test și se reîncarcă pagina de confirmare.</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purchase</w:t>
            </w:r>
            <w:r>
              <w:rPr>
                <w:rFonts w:ascii="Aptos" w:hAnsi="Aptos" w:eastAsia="Aptos"/>
                <w:b w:val="0"/>
                <w:color w:val="1E2430"/>
                <w:sz w:val="15"/>
              </w:rPr>
              <w:t xml:space="preserve"> se transmite o singură dată pentru </w:t>
            </w:r>
            <w:r>
              <w:rPr>
                <w:rFonts w:ascii="Consolas" w:hAnsi="Consolas" w:eastAsia="Consolas"/>
                <w:b w:val="0"/>
                <w:color w:val="1E2430"/>
                <w:sz w:val="15"/>
              </w:rPr>
              <w:t>transaction_id</w:t>
            </w:r>
            <w:r>
              <w:rPr>
                <w:rFonts w:ascii="Aptos" w:hAnsi="Aptos" w:eastAsia="Aptos"/>
                <w:b w:val="0"/>
                <w:color w:val="1E2430"/>
                <w:sz w:val="15"/>
              </w:rPr>
              <w:t xml:space="preserve"> și are produsele, valoarea și moneda corecte.</w:t>
            </w:r>
          </w:p>
        </w:tc>
      </w:tr>
      <w:tr>
        <w:tc>
          <w:tcPr>
            <w:tcW w:type="dxa" w:w="1728"/>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Formular</w:t>
            </w:r>
          </w:p>
        </w:tc>
        <w:tc>
          <w:tcPr>
            <w:tcW w:type="dxa" w:w="3816"/>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trimite un formular valid și unul invalid.</w:t>
            </w:r>
          </w:p>
        </w:tc>
        <w:tc>
          <w:tcPr>
            <w:tcW w:type="dxa" w:w="403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5"/>
              </w:rPr>
              <w:t>generate_lead</w:t>
            </w:r>
            <w:r>
              <w:rPr>
                <w:rFonts w:ascii="Aptos" w:hAnsi="Aptos" w:eastAsia="Aptos"/>
                <w:b w:val="0"/>
                <w:color w:val="1E2430"/>
                <w:sz w:val="15"/>
              </w:rPr>
              <w:t xml:space="preserve"> apare numai pentru submit reușit, cu câmpurile cerute și sursa corectă.</w:t>
            </w:r>
          </w:p>
        </w:tc>
      </w:tr>
      <w:tr>
        <w:tc>
          <w:tcPr>
            <w:tcW w:type="dxa" w:w="1728"/>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Date personale</w:t>
            </w:r>
          </w:p>
        </w:tc>
        <w:tc>
          <w:tcPr>
            <w:tcW w:type="dxa" w:w="3816"/>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Se inspectează valorile din preview în acord cu setările de consimțământ.</w:t>
            </w:r>
          </w:p>
        </w:tc>
        <w:tc>
          <w:tcPr>
            <w:tcW w:type="dxa" w:w="403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5"/>
              </w:rPr>
              <w:t>Nu există valori hardcodate; variabilele sunt dinamice și sunt transmise numai în contextul permis de configurația website-ului.</w:t>
            </w:r>
          </w:p>
        </w:tc>
      </w:tr>
    </w:tbl>
    <w:p>
      <w:pPr>
        <w:spacing w:after="0"/>
      </w:pPr>
    </w:p>
    <w:p>
      <w:pPr>
        <w:pStyle w:val="Heading1"/>
        <w:spacing w:before="200" w:after="80"/>
      </w:pPr>
      <w:r>
        <w:t>11. Livrabilul așteptat de la programator</w:t>
      </w:r>
    </w:p>
    <w:p>
      <w:pPr>
        <w:spacing w:after="100" w:line="259" w:lineRule="auto"/>
      </w:pPr>
      <w:r>
        <w:rPr>
          <w:rFonts w:ascii="Aptos" w:hAnsi="Aptos" w:eastAsia="Aptos"/>
          <w:b w:val="0"/>
          <w:color w:val="1E2430"/>
          <w:sz w:val="19"/>
        </w:rPr>
        <w:t xml:space="preserve">La final, programatorul trebuie să confirme în Excel statusul fiecărui eveniment și al fiecărui câmp critic, să documenteze orice câmp indisponibil și să trimită o dovadă de test din Preview / Tag Assistant pentru comanda test și formularul test. Orice abatere față de denumirile sau câmpurile din document trebuie notată în foaia </w:t>
      </w:r>
      <w:r>
        <w:rPr>
          <w:rFonts w:ascii="Consolas" w:hAnsi="Consolas" w:eastAsia="Consolas"/>
          <w:b w:val="0"/>
          <w:color w:val="1E2430"/>
          <w:sz w:val="19"/>
        </w:rPr>
        <w:t>06_Decizii</w:t>
      </w:r>
      <w:r>
        <w:rPr>
          <w:rFonts w:ascii="Aptos" w:hAnsi="Aptos" w:eastAsia="Aptos"/>
          <w:b w:val="0"/>
          <w:color w:val="1E2430"/>
          <w:sz w:val="19"/>
        </w:rPr>
        <w:t xml:space="preserve"> înainte de publicare.</w:t>
      </w:r>
    </w:p>
    <w:tbl>
      <w:tblPr>
        <w:tblW w:type="auto" w:w="0"/>
        <w:jc w:val="center"/>
        <w:tblLayout w:type="autofit"/>
        <w:tblLook w:firstColumn="1" w:firstRow="1" w:lastColumn="0" w:lastRow="0" w:noHBand="0" w:noVBand="1" w:val="04A0"/>
      </w:tblPr>
      <w:tblGrid>
        <w:gridCol w:w="10454"/>
      </w:tblGrid>
      <w:tr>
        <w:tc>
          <w:tcPr>
            <w:tcW w:type="dxa" w:w="10454"/>
            <w:shd w:fill="FFF7E6" w:val="clear"/>
            <w:tcBorders>
              <w:top w:val="single" w:sz="12" w:space="0" w:color="D69B2D"/>
              <w:left w:val="single" w:sz="12" w:space="0" w:color="D69B2D"/>
              <w:bottom w:val="single" w:sz="12" w:space="0" w:color="D69B2D"/>
              <w:right w:val="single" w:sz="12" w:space="0" w:color="D69B2D"/>
            </w:tcBorders>
            <w:tcMar>
              <w:top w:w="120" w:type="dxa"/>
              <w:start w:w="160" w:type="dxa"/>
              <w:bottom w:w="120" w:type="dxa"/>
              <w:end w:w="160" w:type="dxa"/>
            </w:tcMar>
          </w:tcPr>
          <w:p>
            <w:pPr>
              <w:spacing w:after="80" w:line="259" w:lineRule="auto"/>
            </w:pPr>
            <w:r/>
            <w:r>
              <w:rPr>
                <w:rFonts w:ascii="Aptos" w:hAnsi="Aptos" w:eastAsia="Aptos"/>
                <w:b/>
                <w:color w:val="1D2F50"/>
                <w:sz w:val="18"/>
              </w:rPr>
              <w:t xml:space="preserve">Rezumat de predare: </w:t>
            </w:r>
            <w:r>
              <w:rPr>
                <w:rFonts w:ascii="Aptos" w:hAnsi="Aptos" w:eastAsia="Aptos"/>
                <w:b w:val="0"/>
                <w:color w:val="1E2430"/>
                <w:sz w:val="18"/>
              </w:rPr>
              <w:t>Se livrează o implementare dinamică, fără cod hardcodat în documentație, fără conversii duplicate și cu identificatori de produs / comandă consistenți în întregul flux.</w:t>
            </w:r>
          </w:p>
        </w:tc>
      </w:tr>
    </w:tbl>
    <w:p>
      <w:pPr>
        <w:spacing w:after="0"/>
      </w:pPr>
    </w:p>
    <w:p>
      <w:pPr>
        <w:pStyle w:val="Heading1"/>
        <w:spacing w:before="200" w:after="80"/>
      </w:pPr>
      <w:r>
        <w:t>12. Documente analizate și referințe</w:t>
      </w:r>
    </w:p>
    <w:tbl>
      <w:tblPr>
        <w:tblStyle w:val="TableGrid"/>
        <w:tblW w:type="auto" w:w="0"/>
        <w:jc w:val="center"/>
        <w:tblLayout w:type="fixed"/>
        <w:tblLook w:firstColumn="1" w:firstRow="1" w:lastColumn="0" w:lastRow="0" w:noHBand="0" w:noVBand="1" w:val="04A0"/>
      </w:tblPr>
      <w:tblGrid>
        <w:gridCol w:w="3485"/>
        <w:gridCol w:w="3485"/>
        <w:gridCol w:w="3485"/>
      </w:tblGrid>
      <w:tr>
        <w:trPr>
          <w:tblHeader w:val="true"/>
        </w:trPr>
        <w:tc>
          <w:tcPr>
            <w:tcW w:type="dxa" w:w="79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Ref.</w:t>
            </w:r>
          </w:p>
        </w:tc>
        <w:tc>
          <w:tcPr>
            <w:tcW w:type="dxa" w:w="3671"/>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Document / resursă</w:t>
            </w:r>
          </w:p>
        </w:tc>
        <w:tc>
          <w:tcPr>
            <w:tcW w:type="dxa" w:w="5112"/>
            <w:shd w:fill="1D2F50"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color w:val="FFFFFF"/>
                <w:sz w:val="16"/>
              </w:rPr>
              <w:t>Utilizare în acest ghid</w:t>
            </w:r>
          </w:p>
        </w:tc>
      </w:tr>
      <w:tr>
        <w:tc>
          <w:tcPr>
            <w:tcW w:type="dxa" w:w="7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[1]</w:t>
            </w:r>
          </w:p>
        </w:tc>
        <w:tc>
          <w:tcPr>
            <w:tcW w:type="dxa" w:w="367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6"/>
              </w:rPr>
              <w:t>CopyofDeveloper-dataLayerInstructions-Lead-ecom.ro.xlsx</w:t>
            </w:r>
          </w:p>
        </w:tc>
        <w:tc>
          <w:tcPr>
            <w:tcW w:type="dxa" w:w="51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Sursa principală pentru evenimentele GA4 de produs, coș, checkout, purchase și lead generation, inclusiv parametrii, tipurile și momentul de emitere.</w:t>
            </w:r>
          </w:p>
        </w:tc>
      </w:tr>
      <w:tr>
        <w:tc>
          <w:tcPr>
            <w:tcW w:type="dxa" w:w="79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[2]</w:t>
            </w:r>
          </w:p>
        </w:tc>
        <w:tc>
          <w:tcPr>
            <w:tcW w:type="dxa" w:w="367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6"/>
              </w:rPr>
              <w:t>Copyof[Template]PPCMastery-DeveloperHandoff-All-InDataLayer-E-commerce.docx</w:t>
            </w:r>
          </w:p>
        </w:tc>
        <w:tc>
          <w:tcPr>
            <w:tcW w:type="dxa" w:w="51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Sursa pentru structura de predare e-commerce, Enhanced Conversions, customer status, cart data, deduplicare și opțiunea GTM / Google Tag.</w:t>
            </w:r>
          </w:p>
        </w:tc>
      </w:tr>
      <w:tr>
        <w:tc>
          <w:tcPr>
            <w:tcW w:type="dxa" w:w="79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[3]</w:t>
            </w:r>
          </w:p>
        </w:tc>
        <w:tc>
          <w:tcPr>
            <w:tcW w:type="dxa" w:w="3671"/>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Consolas" w:hAnsi="Consolas" w:eastAsia="Consolas"/>
                <w:b w:val="0"/>
                <w:color w:val="1E2430"/>
                <w:sz w:val="16"/>
              </w:rPr>
              <w:t>Copyof[Template]PPCMastery-DeveloperHandoff-All-InDataLayer-LeadGen.docx</w:t>
            </w:r>
          </w:p>
        </w:tc>
        <w:tc>
          <w:tcPr>
            <w:tcW w:type="dxa" w:w="5112"/>
            <w:shd w:fill="FFFFFF"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 xml:space="preserve">Sursa pentru structura de predare lead generation, date de contact, </w:t>
            </w:r>
            <w:r>
              <w:rPr>
                <w:rFonts w:ascii="Consolas" w:hAnsi="Consolas" w:eastAsia="Consolas"/>
                <w:b w:val="0"/>
                <w:color w:val="1E2430"/>
                <w:sz w:val="16"/>
              </w:rPr>
              <w:t>transaction_id</w:t>
            </w:r>
            <w:r>
              <w:rPr>
                <w:rFonts w:ascii="Aptos" w:hAnsi="Aptos" w:eastAsia="Aptos"/>
                <w:b w:val="0"/>
                <w:color w:val="1E2430"/>
                <w:sz w:val="16"/>
              </w:rPr>
              <w:t>, custom variables și opțiunea GTM / Google Tag.</w:t>
            </w:r>
          </w:p>
        </w:tc>
      </w:tr>
      <w:tr>
        <w:tc>
          <w:tcPr>
            <w:tcW w:type="dxa" w:w="79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[4]</w:t>
            </w:r>
          </w:p>
        </w:tc>
        <w:tc>
          <w:tcPr>
            <w:tcW w:type="dxa" w:w="3671"/>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Google Analytics 4 Event Reference: https://developers.google.com/analytics/devguides/collection/ga4/reference/events</w:t>
            </w:r>
          </w:p>
        </w:tc>
        <w:tc>
          <w:tcPr>
            <w:tcW w:type="dxa" w:w="5112"/>
            <w:shd w:fill="F4F6F8" w:val="clear"/>
            <w:tcBorders>
              <w:top w:val="single" w:sz="6" w:space="0" w:color="C8D0DA"/>
              <w:left w:val="single" w:sz="6" w:space="0" w:color="C8D0DA"/>
              <w:bottom w:val="single" w:sz="6" w:space="0" w:color="C8D0DA"/>
              <w:right w:val="single" w:sz="6" w:space="0" w:color="C8D0DA"/>
            </w:tcBorders>
            <w:tcMar>
              <w:top w:w="80" w:type="dxa"/>
              <w:start w:w="90" w:type="dxa"/>
              <w:bottom w:w="80" w:type="dxa"/>
              <w:end w:w="90" w:type="dxa"/>
            </w:tcMar>
            <w:vAlign w:val="top"/>
          </w:tcPr>
          <w:p>
            <w:pPr>
              <w:spacing w:after="80" w:line="259" w:lineRule="auto"/>
              <w:jc w:val="left"/>
            </w:pPr>
            <w:r/>
            <w:r>
              <w:rPr>
                <w:rFonts w:ascii="Aptos" w:hAnsi="Aptos" w:eastAsia="Aptos"/>
                <w:b w:val="0"/>
                <w:color w:val="1E2430"/>
                <w:sz w:val="16"/>
              </w:rPr>
              <w:t>URL-uri de referință incluse în workbook-ul furnizat pentru verificarea denumirilor standard de evenimente GA4.</w:t>
            </w:r>
          </w:p>
        </w:tc>
      </w:tr>
    </w:tbl>
    <w:p>
      <w:pPr>
        <w:spacing w:after="0"/>
      </w:pPr>
    </w:p>
    <w:sectPr w:rsidR="00FC693F" w:rsidRPr="0006063C" w:rsidSect="00034616">
      <w:headerReference w:type="default" r:id="rId9"/>
      <w:footerReference w:type="default" r:id="rId10"/>
      <w:pgSz w:w="12240" w:h="15840"/>
      <w:pgMar w:top="1037" w:right="893" w:bottom="92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eastAsia="Aptos"/>
        <w:color w:val="7B8798"/>
        <w:sz w:val="15"/>
      </w:rPr>
      <w:t xml:space="preserve">Pascal Răzvan | PPC Specialist | pascalrazvan.ro | </w:t>
    </w:r>
    <w:r>
      <w:rPr>
        <w:rFonts w:ascii="Aptos" w:hAnsi="Aptos" w:eastAsia="Aptos"/>
        <w:color w:val="7B8798"/>
        <w:sz w:val="15"/>
      </w:rPr>
      <w:t xml:space="preserve">Pagina </w:t>
    </w:r>
    <w:r>
      <w:rPr>
        <w:rFonts w:ascii="Aptos" w:hAnsi="Aptos" w:eastAsia="Aptos"/>
        <w:color w:val="7B8798"/>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4788"/>
      <w:gridCol w:w="4788"/>
    </w:tblGrid>
    <w:tr>
      <w:tc>
        <w:tcPr>
          <w:tcW w:type="dxa" w:w="4680"/>
          <w:shd w:fill="1D2F50" w:val="clear"/>
          <w:tcMar>
            <w:top w:w="110" w:type="dxa"/>
            <w:start w:w="140" w:type="dxa"/>
            <w:bottom w:w="110" w:type="dxa"/>
            <w:end w:w="140" w:type="dxa"/>
          </w:tcMar>
        </w:tcPr>
        <w:p>
          <w:pPr>
            <w:spacing w:after="0" w:line="240" w:lineRule="auto"/>
            <w:jc w:val="left"/>
          </w:pPr>
          <w:r/>
          <w:r>
            <w:rPr>
              <w:rFonts w:ascii="Aptos" w:hAnsi="Aptos" w:eastAsia="Aptos"/>
              <w:b/>
              <w:color w:val="FFFFFF"/>
              <w:sz w:val="24"/>
            </w:rPr>
            <w:t>Răzvan Pascal</w:t>
          </w:r>
          <w:r>
            <w:rPr>
              <w:rFonts w:ascii="Aptos" w:hAnsi="Aptos" w:eastAsia="Aptos"/>
              <w:color w:val="DCE6F5"/>
              <w:sz w:val="15"/>
            </w:rPr>
            <w:br/>
            <w:t>PPC Mastery</w:t>
          </w:r>
        </w:p>
      </w:tc>
      <w:tc>
        <w:tcPr>
          <w:tcW w:type="dxa" w:w="4896"/>
          <w:shd w:fill="1D2F50" w:val="clear"/>
          <w:tcMar>
            <w:top w:w="110" w:type="dxa"/>
            <w:start w:w="140" w:type="dxa"/>
            <w:bottom w:w="110" w:type="dxa"/>
            <w:end w:w="140" w:type="dxa"/>
          </w:tcMar>
        </w:tcPr>
        <w:p>
          <w:pPr>
            <w:spacing w:after="0" w:line="240" w:lineRule="auto"/>
            <w:jc w:val="right"/>
          </w:pPr>
          <w:r/>
          <w:r>
            <w:rPr>
              <w:rFonts w:ascii="Aptos" w:hAnsi="Aptos" w:eastAsia="Aptos"/>
              <w:b/>
              <w:color w:val="FFFFFF"/>
              <w:sz w:val="21"/>
            </w:rPr>
            <w:t>PASCAL RĂZVAN</w:t>
          </w:r>
          <w:r>
            <w:rPr>
              <w:rFonts w:ascii="Aptos" w:hAnsi="Aptos" w:eastAsia="Aptos"/>
              <w:color w:val="DCE6F5"/>
              <w:sz w:val="15"/>
            </w:rPr>
            <w:br/>
            <w:t>PPC Specialist | pascalrazvan.ro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1E243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D2F5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1D2F5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1D2F5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