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 w:after="100"/>
      </w:pPr>
      <w:r>
        <w:rPr>
          <w:rFonts w:ascii="Arial" w:hAnsi="Arial" w:eastAsia="Arial"/>
          <w:b/>
          <w:i w:val="0"/>
          <w:color w:val="1A2B4C"/>
          <w:sz w:val="42"/>
        </w:rPr>
        <w:t>Listă de validare pentru excluderi referral GA4</w:t>
      </w:r>
    </w:p>
    <w:p>
      <w:pPr>
        <w:spacing w:after="320"/>
      </w:pPr>
      <w:r>
        <w:rPr>
          <w:rFonts w:ascii="Arial" w:hAnsi="Arial" w:eastAsia="Arial"/>
          <w:b w:val="0"/>
          <w:i w:val="0"/>
          <w:color w:val="64748B"/>
          <w:sz w:val="21"/>
        </w:rPr>
        <w:t>Domenii candidate pentru fluxuri de checkout și autentificare 3-D Secure. Document creat de Pascal Răzvan.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DF4E2"/>
            <w:tcBorders>
              <w:top w:val="single" w:sz="6" w:color="E8A838"/>
              <w:left w:val="single" w:sz="6" w:color="E8A838"/>
              <w:bottom w:val="single" w:sz="6" w:color="E8A838"/>
              <w:right w:val="single" w:sz="6" w:color="E8A838"/>
            </w:tcBorders>
            <w:tcMar>
              <w:top w:w="170" w:type="dxa"/>
              <w:start w:w="200" w:type="dxa"/>
              <w:bottom w:w="170" w:type="dxa"/>
              <w:end w:w="20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1A2B4C"/>
                <w:sz w:val="20"/>
              </w:rPr>
              <w:t xml:space="preserve">Important: </w:t>
            </w:r>
            <w:r>
              <w:rPr>
                <w:rFonts w:ascii="Arial" w:hAnsi="Arial" w:eastAsia="Arial"/>
                <w:b w:val="0"/>
                <w:i w:val="0"/>
                <w:color w:val="1F2937"/>
                <w:sz w:val="20"/>
              </w:rPr>
              <w:t>Această listă este o bibliotecă de validare, nu un import automat. Adaugă numai domeniile pe care le observi în propriul flux de plată și testează separat plata reușită, plata refuzată, anularea și evenimentul purchase.</w:t>
            </w:r>
          </w:p>
        </w:tc>
      </w:tr>
    </w:tbl>
    <w:p>
      <w:pPr>
        <w:spacing w:before="320" w:after="100"/>
      </w:pPr>
      <w:r>
        <w:rPr>
          <w:rFonts w:ascii="Arial" w:hAnsi="Arial" w:eastAsia="Arial"/>
          <w:b/>
          <w:i w:val="0"/>
          <w:color w:val="1A2B4C"/>
          <w:sz w:val="28"/>
        </w:rPr>
        <w:t>Când poate fi relevantă</w:t>
      </w:r>
    </w:p>
    <w:p>
      <w:pPr>
        <w:spacing w:after="140" w:line="276" w:lineRule="auto"/>
      </w:pPr>
      <w:r>
        <w:rPr>
          <w:rFonts w:ascii="Arial" w:hAnsi="Arial" w:eastAsia="Arial"/>
          <w:b w:val="0"/>
          <w:i w:val="0"/>
          <w:color w:val="1F2937"/>
          <w:sz w:val="21"/>
        </w:rPr>
        <w:t>Folosește documentul atunci când un procesator de plată sau o etapă 3-D Secure apare ca referral între checkout și pagina de confirmare. Nu exclude automat marketplace-uri, afiliați, motoare de căutare, domenii de campanie sau domenii proprii fără să confirmi traseul real al utilizatorului.</w:t>
      </w:r>
    </w:p>
    <w:p>
      <w:pPr>
        <w:spacing w:before="320" w:after="100"/>
      </w:pPr>
      <w:r>
        <w:rPr>
          <w:rFonts w:ascii="Arial" w:hAnsi="Arial" w:eastAsia="Arial"/>
          <w:b/>
          <w:i w:val="0"/>
          <w:color w:val="1A2B4C"/>
          <w:sz w:val="28"/>
        </w:rPr>
        <w:t>Pași de configurare</w:t>
      </w:r>
    </w:p>
    <w:p>
      <w:pPr>
        <w:pStyle w:val="ListBullet"/>
        <w:spacing w:after="80"/>
      </w:pPr>
      <w:r>
        <w:rPr>
          <w:rFonts w:ascii="Arial" w:hAnsi="Arial" w:eastAsia="Arial"/>
          <w:b/>
          <w:i w:val="0"/>
          <w:color w:val="1A2B4C"/>
          <w:sz w:val="20"/>
        </w:rPr>
        <w:t>1. Identifică referral-ul:</w:t>
      </w:r>
      <w:r>
        <w:rPr>
          <w:rFonts w:ascii="Arial" w:hAnsi="Arial" w:eastAsia="Arial"/>
          <w:b w:val="0"/>
          <w:i w:val="0"/>
          <w:color w:val="1F2937"/>
          <w:sz w:val="20"/>
        </w:rPr>
        <w:t>verifică în GA4 hostname-ul și secvența evenimentelor înainte de pagina de confirmare.</w:t>
      </w:r>
    </w:p>
    <w:p>
      <w:pPr>
        <w:pStyle w:val="ListBullet"/>
        <w:spacing w:after="80"/>
      </w:pPr>
      <w:r>
        <w:rPr>
          <w:rFonts w:ascii="Arial" w:hAnsi="Arial" w:eastAsia="Arial"/>
          <w:b/>
          <w:i w:val="0"/>
          <w:color w:val="1A2B4C"/>
          <w:sz w:val="20"/>
        </w:rPr>
        <w:t>2. Alege doar domeniile folosite:</w:t>
      </w:r>
      <w:r>
        <w:rPr>
          <w:rFonts w:ascii="Arial" w:hAnsi="Arial" w:eastAsia="Arial"/>
          <w:b w:val="0"/>
          <w:i w:val="0"/>
          <w:color w:val="1F2937"/>
          <w:sz w:val="20"/>
        </w:rPr>
        <w:t>caută în lista de mai jos procesatorul sau banca implicată în fluxul magazinului tău.</w:t>
      </w:r>
    </w:p>
    <w:p>
      <w:pPr>
        <w:pStyle w:val="ListBullet"/>
        <w:spacing w:after="80"/>
      </w:pPr>
      <w:r>
        <w:rPr>
          <w:rFonts w:ascii="Arial" w:hAnsi="Arial" w:eastAsia="Arial"/>
          <w:b/>
          <w:i w:val="0"/>
          <w:color w:val="1A2B4C"/>
          <w:sz w:val="20"/>
        </w:rPr>
        <w:t>3. Configurează în GA4:</w:t>
      </w:r>
      <w:r>
        <w:rPr>
          <w:rFonts w:ascii="Arial" w:hAnsi="Arial" w:eastAsia="Arial"/>
          <w:b w:val="0"/>
          <w:i w:val="0"/>
          <w:color w:val="1F2937"/>
          <w:sz w:val="20"/>
        </w:rPr>
        <w:t>Administrator &gt; Colectare și modificare date &gt; Fluxuri de date &gt; Web &gt; Configurare setări etichetă &gt; Lista referral-urilor nedorite.</w:t>
      </w:r>
    </w:p>
    <w:p>
      <w:pPr>
        <w:pStyle w:val="ListBullet"/>
        <w:spacing w:after="80"/>
      </w:pPr>
      <w:r>
        <w:rPr>
          <w:rFonts w:ascii="Arial" w:hAnsi="Arial" w:eastAsia="Arial"/>
          <w:b/>
          <w:i w:val="0"/>
          <w:color w:val="1A2B4C"/>
          <w:sz w:val="20"/>
        </w:rPr>
        <w:t>4. Testează fluxul complet:</w:t>
      </w:r>
      <w:r>
        <w:rPr>
          <w:rFonts w:ascii="Arial" w:hAnsi="Arial" w:eastAsia="Arial"/>
          <w:b w:val="0"/>
          <w:i w:val="0"/>
          <w:color w:val="1F2937"/>
          <w:sz w:val="20"/>
        </w:rPr>
        <w:t>verifică plata reușită, plata refuzată, anularea, purchase și atribuirea sesiunii după salvare.</w:t>
      </w:r>
    </w:p>
    <w:p>
      <w:pPr>
        <w:spacing w:before="320" w:after="100"/>
      </w:pPr>
      <w:r>
        <w:rPr>
          <w:rFonts w:ascii="Arial" w:hAnsi="Arial" w:eastAsia="Arial"/>
          <w:b/>
          <w:i w:val="0"/>
          <w:color w:val="1A2B4C"/>
          <w:sz w:val="28"/>
        </w:rPr>
        <w:t>Lista dedicată România</w:t>
      </w:r>
    </w:p>
    <w:p>
      <w:pPr>
        <w:spacing w:after="140" w:line="276" w:lineRule="auto"/>
      </w:pPr>
      <w:r>
        <w:rPr>
          <w:rFonts w:ascii="Arial" w:hAnsi="Arial" w:eastAsia="Arial"/>
          <w:b w:val="0"/>
          <w:i w:val="0"/>
          <w:color w:val="1F2937"/>
          <w:sz w:val="21"/>
        </w:rPr>
        <w:t>Acest set este o selecție practică din lista completă pentru fluxuri care pot apărea în România. Include domenii cu extensia .ro și domeniul secure.payu.com, care poate apărea în fluxuri PayU. Verifică întotdeauna referral-ul observat efectiv înainte de configurare.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1A2B4C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Nr.</w:t>
            </w:r>
          </w:p>
        </w:tc>
        <w:tc>
          <w:tcPr>
            <w:tcW w:type="dxa" w:w="5156"/>
            <w:shd w:fill="1A2B4C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Model regex pentru validare în România</w:t>
            </w:r>
          </w:p>
        </w:tc>
      </w:tr>
      <w:tr>
        <w:tc>
          <w:tcPr>
            <w:tcW w:type="dxa" w:w="5156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64748B"/>
                <w:sz w:val="16"/>
              </w:rPr>
              <w:t>1</w:t>
            </w:r>
          </w:p>
        </w:tc>
        <w:tc>
          <w:tcPr>
            <w:tcW w:type="dxa" w:w="5156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Courier New" w:hAnsi="Courier New" w:eastAsia="Courier New"/>
                <w:b w:val="0"/>
                <w:i w:val="0"/>
                <w:color w:val="1F2937"/>
                <w:sz w:val="16"/>
              </w:rPr>
              <w:t>^secure22gw\.ro$</w:t>
            </w:r>
          </w:p>
        </w:tc>
      </w:tr>
      <w:tr>
        <w:tc>
          <w:tcPr>
            <w:tcW w:type="dxa" w:w="5156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64748B"/>
                <w:sz w:val="16"/>
              </w:rPr>
              <w:t>2</w:t>
            </w:r>
          </w:p>
        </w:tc>
        <w:tc>
          <w:tcPr>
            <w:tcW w:type="dxa" w:w="5156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Courier New" w:hAnsi="Courier New" w:eastAsia="Courier New"/>
                <w:b w:val="0"/>
                <w:i w:val="0"/>
                <w:color w:val="1F2937"/>
                <w:sz w:val="16"/>
              </w:rPr>
              <w:t>^3dsecure\.ing\.ro$</w:t>
            </w:r>
          </w:p>
        </w:tc>
      </w:tr>
      <w:tr>
        <w:tc>
          <w:tcPr>
            <w:tcW w:type="dxa" w:w="5156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64748B"/>
                <w:sz w:val="16"/>
              </w:rPr>
              <w:t>3</w:t>
            </w:r>
          </w:p>
        </w:tc>
        <w:tc>
          <w:tcPr>
            <w:tcW w:type="dxa" w:w="5156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Courier New" w:hAnsi="Courier New" w:eastAsia="Courier New"/>
                <w:b w:val="0"/>
                <w:i w:val="0"/>
                <w:color w:val="1F2937"/>
                <w:sz w:val="16"/>
              </w:rPr>
              <w:t>^secure\.mobilpay\.ro$</w:t>
            </w:r>
          </w:p>
        </w:tc>
      </w:tr>
      <w:tr>
        <w:tc>
          <w:tcPr>
            <w:tcW w:type="dxa" w:w="5156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64748B"/>
                <w:sz w:val="16"/>
              </w:rPr>
              <w:t>4</w:t>
            </w:r>
          </w:p>
        </w:tc>
        <w:tc>
          <w:tcPr>
            <w:tcW w:type="dxa" w:w="5156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Courier New" w:hAnsi="Courier New" w:eastAsia="Courier New"/>
                <w:b w:val="0"/>
                <w:i w:val="0"/>
                <w:color w:val="1F2937"/>
                <w:sz w:val="16"/>
              </w:rPr>
              <w:t>^sandboxsecure\.mobilpay\.ro$</w:t>
            </w:r>
          </w:p>
        </w:tc>
      </w:tr>
      <w:tr>
        <w:tc>
          <w:tcPr>
            <w:tcW w:type="dxa" w:w="5156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64748B"/>
                <w:sz w:val="16"/>
              </w:rPr>
              <w:t>5</w:t>
            </w:r>
          </w:p>
        </w:tc>
        <w:tc>
          <w:tcPr>
            <w:tcW w:type="dxa" w:w="5156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Courier New" w:hAnsi="Courier New" w:eastAsia="Courier New"/>
                <w:b w:val="0"/>
                <w:i w:val="0"/>
                <w:color w:val="1F2937"/>
                <w:sz w:val="16"/>
              </w:rPr>
              <w:t>^secure\.euplatesc\.ro$</w:t>
            </w:r>
          </w:p>
        </w:tc>
      </w:tr>
      <w:tr>
        <w:tc>
          <w:tcPr>
            <w:tcW w:type="dxa" w:w="5156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64748B"/>
                <w:sz w:val="16"/>
              </w:rPr>
              <w:t>6</w:t>
            </w:r>
          </w:p>
        </w:tc>
        <w:tc>
          <w:tcPr>
            <w:tcW w:type="dxa" w:w="5156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Courier New" w:hAnsi="Courier New" w:eastAsia="Courier New"/>
                <w:b w:val="0"/>
                <w:i w:val="0"/>
                <w:color w:val="1F2937"/>
                <w:sz w:val="16"/>
              </w:rPr>
              <w:t>^secure\.payu\.ro$</w:t>
            </w:r>
          </w:p>
        </w:tc>
      </w:tr>
      <w:tr>
        <w:tc>
          <w:tcPr>
            <w:tcW w:type="dxa" w:w="5156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64748B"/>
                <w:sz w:val="16"/>
              </w:rPr>
              <w:t>7</w:t>
            </w:r>
          </w:p>
        </w:tc>
        <w:tc>
          <w:tcPr>
            <w:tcW w:type="dxa" w:w="5156"/>
            <w:tcMar>
              <w:top w:w="60" w:type="dxa"/>
              <w:start w:w="100" w:type="dxa"/>
              <w:bottom w:w="60" w:type="dxa"/>
              <w:end w:w="100" w:type="dxa"/>
            </w:tcMar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</w:tcPr>
          <w:p>
            <w:r>
              <w:rPr>
                <w:rFonts w:ascii="Courier New" w:hAnsi="Courier New" w:eastAsia="Courier New"/>
                <w:b w:val="0"/>
                <w:i w:val="0"/>
                <w:color w:val="1F2937"/>
                <w:sz w:val="16"/>
              </w:rPr>
              <w:t>^secure\.payu\.com$</w:t>
            </w:r>
          </w:p>
        </w:tc>
      </w:tr>
    </w:tbl>
    <w:p>
      <w:pPr>
        <w:spacing w:before="320" w:after="100"/>
      </w:pPr>
      <w:r>
        <w:rPr>
          <w:rFonts w:ascii="Arial" w:hAnsi="Arial" w:eastAsia="Arial"/>
          <w:b/>
          <w:i w:val="0"/>
          <w:color w:val="1A2B4C"/>
          <w:sz w:val="28"/>
        </w:rPr>
        <w:t>Lista consolidată de modele regex (344 intrări)</w:t>
      </w:r>
    </w:p>
    <w:p>
      <w:pPr>
        <w:spacing w:after="140" w:line="276" w:lineRule="auto"/>
      </w:pPr>
      <w:r>
        <w:rPr>
          <w:rFonts w:ascii="Arial" w:hAnsi="Arial" w:eastAsia="Arial"/>
          <w:b w:val="0"/>
          <w:i w:val="0"/>
          <w:color w:val="1F2937"/>
          <w:sz w:val="21"/>
        </w:rPr>
        <w:t>Lista integrală este păstrată mai jos într-un format compact, pregătit pentru copiere în bloc. Ea nu este redusă atunci când folosești lista România de mai sus.</w:t>
      </w:r>
    </w:p>
    <w:p>
      <w:pPr>
        <w:spacing w:before="320" w:after="100"/>
      </w:pPr>
      <w:r>
        <w:rPr>
          <w:rFonts w:ascii="Arial" w:hAnsi="Arial" w:eastAsia="Arial"/>
          <w:b/>
          <w:i w:val="0"/>
          <w:color w:val="1A2B4C"/>
          <w:sz w:val="28"/>
        </w:rPr>
        <w:t>Format pentru introducere în bloc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DF4E2"/>
            <w:tcBorders>
              <w:top w:val="single" w:sz="6" w:color="E8A838"/>
              <w:left w:val="single" w:sz="6" w:color="E8A838"/>
              <w:bottom w:val="single" w:sz="6" w:color="E8A838"/>
              <w:right w:val="single" w:sz="6" w:color="E8A838"/>
            </w:tcBorders>
            <w:tcMar>
              <w:top w:w="170" w:type="dxa"/>
              <w:start w:w="200" w:type="dxa"/>
              <w:bottom w:w="170" w:type="dxa"/>
              <w:end w:w="20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1A2B4C"/>
                <w:sz w:val="20"/>
              </w:rPr>
              <w:t xml:space="preserve">Operator recomandat: </w:t>
            </w:r>
            <w:r>
              <w:rPr>
                <w:rFonts w:ascii="Arial" w:hAnsi="Arial" w:eastAsia="Arial"/>
                <w:b w:val="0"/>
                <w:i w:val="0"/>
                <w:color w:val="1F2937"/>
                <w:sz w:val="20"/>
              </w:rPr>
              <w:t>Alege condiția de tip Matches regex în GA4, apoi folosește separatorul vertical | între modele. Nu folosi virgulă între expresii. Verifică limita câmpului din interfața GA4: dacă expresia completă nu încape, păstrează lista integrală în document și adaugă în cont doar grupurile confirmate din fluxul tău, în condiții separate.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EF3F9"/>
            <w:tcBorders>
              <w:top w:val="single" w:sz="6" w:color="D7E0EA"/>
              <w:left w:val="single" w:sz="6" w:color="D7E0EA"/>
              <w:bottom w:val="single" w:sz="6" w:color="D7E0EA"/>
              <w:right w:val="single" w:sz="6" w:color="D7E0EA"/>
            </w:tcBorders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pPr>
              <w:spacing w:after="40"/>
            </w:pPr>
            <w:r>
              <w:rPr>
                <w:rFonts w:ascii="Courier New" w:hAnsi="Courier New" w:eastAsia="Courier New"/>
                <w:b w:val="0"/>
                <w:i w:val="0"/>
                <w:color w:val="1F2937"/>
                <w:sz w:val="14"/>
              </w:rPr>
              <w:t>^europsl\.eu$|^audibank\.de$|^evobanco\.com$|^acs\.alfabank\.ru$|^fbmecards\.cardinalcommerce\.com$|^acs\.bradescocartoes\.com\.br$|^bankmillennium\.pl$|^fiducia\.de$|^fnb\.co$|^german-3dsecure\.wlp-acs\.com$|^giropay\.dkb\.de$|^giropay\.gad\.de$|^giropay\.haspa\.de$|^giropay\.ksk-es\.de$|^giropay\.postbank\.de$|^gpesecure\.com$|^handelsbanken\.modirum\.com$|^hipay\.com$|^hsbc\.wlp-acs\.com$|^hvbmc\.cardinalcommerce\.com$|^hvbvisa\.cardinalcommerce\.com$|^live\.adyen\.com$|^secure5\.arcot\.com$|^cap\.securecode\.com$|^securecode\.com$|^3ds\.bnpparibas\.com$|^mycardsecure\.com$|^giropay\.sparkasse-lev\.de$|^sparkasse-lev\.de$|^cap\.attempts\.securecode\.com$|^3dsecure\.icicibank\.com$|^acs2\.swedbank\.se$|^acs4\.3dsecure\.no$|^sicher-einkaufen\.commerzbank\.de$|^sicheres-bezahlen\.bw-bank\.de$|^secure\.paypage\.be$|^checkout\.buckaroo\.nl$|^redmine\.xsarus\.nl$|^rabobank\.nl$|^ing\.nl$|^ing\.be$|^regiobank\.nl$|^snsbank\.nl$|^asnbank\.nl</w:t>
            </w:r>
          </w:p>
          <w:p>
            <w:pPr>
              <w:spacing w:after="40"/>
            </w:pPr>
            <w:r>
              <w:rPr>
                <w:rFonts w:ascii="Courier New" w:hAnsi="Courier New" w:eastAsia="Courier New"/>
                <w:b w:val="0"/>
                <w:i w:val="0"/>
                <w:color w:val="1F2937"/>
                <w:sz w:val="14"/>
              </w:rPr>
              <w:t>$|^triodos\.nl$|^vanlanschot\.nl$|^knab\.nl$|^bunq\.com$|^frieslandbank\.nl$|^snsreaal\.nl$|^secure-ing\.com$|^deutsche-bank\.de$|^handelsbanken\.nl$|^commerzbank\.de$|^moneyou\.nl$|^mollie\.nl$|^paypal\.nl$|^payin3\.nl$|^icscards\.nl$|^hsbc\.com\.hk$|^secure\.ogone\.com$|^cm-cic\.com$|^pay\.nl$|^redsys\.es$|^tatrabanka\.sk$|^klarna\.com$|^klarna\.nl$|^3d-secure-code\.de$|^3dsecure\.bw-bank\.de$|^3dsecure-cardprocess\.de$|^3dsecure\.deutsche-bank\.de$|^3dsecure\.icscards\.nl$|^aacsw\.3ds\.verifiedbyvisa\.com$|^abnamro\.nl$|^acs\.airplus\.com$|^acs1\.3ds\.modirum\.com$|^acs2-3dsecure\.cm-cic\.com$|^adyen\.com$|^arcot\.com$|^bankieren\.ideal\.ing\.nl$|^barclays\.co\.uk$|^bcr\.girogate\.be$|^belfius\.be$|^belgium-3dsecure-uvg\.wlp-acs\.com$|^belgium-3dsecure\.wlp-acs\.com$|^belgium-uvj-3dsecure\.wlp-acs\.com$|^belgium-uvp-3dsecure\.wlp-acs\.com$|^betalen\.rabobank\.nl$|^bnpparibas\.com$|^buckaroo\.nl$|^deref-web-02\.de$|^diensten\.asnbank\</w:t>
            </w:r>
          </w:p>
          <w:p>
            <w:pPr>
              <w:spacing w:after="40"/>
            </w:pPr>
            <w:r>
              <w:rPr>
                <w:rFonts w:ascii="Courier New" w:hAnsi="Courier New" w:eastAsia="Courier New"/>
                <w:b w:val="0"/>
                <w:i w:val="0"/>
                <w:color w:val="1F2937"/>
                <w:sz w:val="14"/>
              </w:rPr>
              <w:t>.nl$|^diensten\.regiobank\.nl$|^diensten\.snsbank\.nl$|^icepay\.eu$|^ideal\.asnbank\.nl$|^ideal\.bunq\.com$|^ideal\.ing\.nl$|^ideal\.knab\.nl$|^ideal\.moneyou\.nl$|^ideal\.regiobank\.nl$|^ideal\.snsbank\.nl$|^ideal\.triodos\.nl$|^ideal\.vanlanschot\.com$|^iscards\.nl$|^kbc\.be$|^mastercardsecurecode\.sparkassen-kreditkarten\.de$|^pay\.mollie\.nl$|^mollie\.com$|^multisafepay\.com$|^pay\.multisafepay\.com$|^payment-web\.sips-atos\.com$|^payment-web\.omnikassa\.rabobank\.nl$|^paypal\.com$|^payv2\.multisafepay\.com$|^secure7\.arcot\.com$|^securecode\.abnamro\.nl$|^securesuite\.co\.uk$|^secureyou3d\.ing\.be$|^sips-atos\.com$|^sofort\.com$|^sparda\.wlp-acs\.com$|^tpeweb1\.paybox\.com$|^tsys\.arcot\.com$|^verifiedbyvisa\.barclays\.co\.uk$|^verifiedbyvisa\.com$|^visa\.com$|^wlp-acs\.com$|^ogone\.test\.v-psp\.com$|^3dsecure\.icscards\.com$|^icscards\.com$|^bancontact\.girogate\.be$|^europabank\.be$|^belgium-3ds-bxl\.wlp-acs\.com$|^belgium-3ds-vd</w:t>
            </w:r>
          </w:p>
          <w:p>
            <w:pPr>
              <w:spacing w:after="40"/>
            </w:pPr>
            <w:r>
              <w:rPr>
                <w:rFonts w:ascii="Courier New" w:hAnsi="Courier New" w:eastAsia="Courier New"/>
                <w:b w:val="0"/>
                <w:i w:val="0"/>
                <w:color w:val="1F2937"/>
                <w:sz w:val="14"/>
              </w:rPr>
              <w:t>m\.wlp-acs\.com$|^rsa3dsauth\.co\.uk$|^acs1-3dsecure\.cm-cic\.com$|^3dsecure2\.credit-agricole\.pl$|^auth\.3dsecure-csas\.cz$|^3ds\.pl\.ing\.com$|^secure22gw\.ro$|^3dsecure\.tatrabanka\.sk$|^foriseu-vbv\.mycardplace\.com$|^u5b-3ds-bxl\.wlp-acs\.com$|^paydirekt\.de$|^cbc\.be$|^bpcepaymentservices-3ds-vdm\.wlp-acs\.com$|^services\.paytrail\.com$|^authentication\.cardinalcommerce\.com$|^business\.danskebank\.fi$|^maksu\.pivo\.fi$|^online\.s-pankki\.fi$|^v1\.api\.paymenthighway\.io$|^verkkopankki\.danskebank\.fi$|^3ds-a\.live\.ext\.prod\.enfuce\.com$|^secure2\.arcot\.com$|^secure\.jousto\.com$|^danskebank-3ds-bxl\.wlp-acs\.com$|^ideal\.vanlanschotkempen\.com$|^lv-worldline-3ds-bxl\.wlp-acs\.com$|^pay\.klarna\.com$|^auth\.nordicapigateway\.com$|^products\.mobilepay\.dk$|^ideal2\.knab\.nl$|^css-api\.klarna\.com$|^pay\.paytrail\.com$|^safe\.pay\.nl$|^leningaanvraag\.spraypay\.nl$|^danskebank-3ds-vdm\.wlp-acs\.com$|^creator\.klarna\.com$|^bours</w:t>
            </w:r>
          </w:p>
          <w:p>
            <w:pPr>
              <w:spacing w:after="40"/>
            </w:pPr>
            <w:r>
              <w:rPr>
                <w:rFonts w:ascii="Courier New" w:hAnsi="Courier New" w:eastAsia="Courier New"/>
                <w:b w:val="0"/>
                <w:i w:val="0"/>
                <w:color w:val="1F2937"/>
                <w:sz w:val="14"/>
              </w:rPr>
              <w:t>orama-3ds-vdm\.wlp-acs\.com$|^verkkomaksu\.handelsbanken\.fi$|^checkoutshopper-test\.adyen\.com$|^secure4\.arcot\.com$|^card\.pay\.nl$|^3ds\.borica\.bg$|^3ds\.abanca\.com$|^3ds\.redsys\.es$|^3dsecureb\.sparda\.de$|^luxembourg-3ds-bxl\.wlp-acs\.com$|^checkout\.payin3\.nl$|^client\.billink\.nl$|^billink\.nl$|^pay\.eewosecure\.com$|^3ds\.nexigroup\.com$|^authentication-acs\.marqeta\.com$|^app\.revolut\.com$|^acs\.revolut\.com$|^3ds-b\.live\.ext\.prod\.enfuce\.com$|^acs\.apata\.io$|^checkout\.payson\.se$|^hooks\.stripe\.com$|^payin3\.eu$|^r3\.girogate\.de$|^identify\.nordea\.com$|^id\.signicat\.com$|^op-bxl\.wlp-acs\.com$|^op-vdm\.wlp-acs\.com$|^tunnistus\.saastopankki\.fi$|^tunnistus\.poppankki\.fi$|^verkkomaksu\.saastopank$|^paiement2\.secure\.lcl\.fr$|^german-3ds-bxl\.wlp-acs\.com$|^sfy-payments\.molops\.net$|^verkkomaksu\.op\.fi$|^epmt\.nordea\.fi$|^verkkomaksu\.poppankki\.fi$|^verkkomaksu\.omasp\.fi$|^safekey-2\.americanexpress\.com$|^</w:t>
            </w:r>
          </w:p>
          <w:p>
            <w:pPr>
              <w:spacing w:after="40"/>
            </w:pPr>
            <w:r>
              <w:rPr>
                <w:rFonts w:ascii="Courier New" w:hAnsi="Courier New" w:eastAsia="Courier New"/>
                <w:b w:val="0"/>
                <w:i w:val="0"/>
                <w:color w:val="1F2937"/>
                <w:sz w:val="14"/>
              </w:rPr>
              <w:t>coapacs2c\.pingan\.com\.cn$|^pay\.checkout\.fi$|^verkkomaksu\.saastopankki\.fi$|^paymentsv2\.montonio\.com$|^lightspeed\.buckaroo\.io$|^card-payments\.montonio\.com$|^r\.secprf\.com$|^bankenauswahl\.giropay\.de$|^services\.epassi\.fi$|^checkout\.smartum\.fi$|^klarnapayments\.com$|^kultaraha\.op\.fi$|^paymenthighway\.io$|^ebank\.aktia\.fi$|^op-lasku\.rahoitus\.op\.fi$|^tunnistautuminen\.suomi\.fi$|^acs4\.privatbank\.ua$|^cardinalcommerce\.com$|^maksuturva\.fi$|^svea\.com$|^epayment\.nets\.eu$|^acs1-3dsecure\.creditmutuel\.fr$|^centinelapi\.cardinalcommerce\.com$|^checkout\.reepay\.com$|^api\.pay\.nl$|^pboost\.me$|^payments\.amazon\.de$|^payments-eu\.amazon\.com$|^ideal\.pay\.nl$|^paymentapp\.pay\.nl$|^in3\.payin\.nl$|^payv2-02\.multisafepay\.com$|^in3\.payin3\.nl$|^payments\.molops\.net$|^ssl-prd-u7f-fo-acs-pa-casa-bxl\.wlp-acs\.com$|^3ds\.rpc-raiffeisen\.com$|^psp-ecommerce\.payex\.com$|^ecom\.payex\.com$|^laskuyritykselle\.fi$|^payex\.</w:t>
            </w:r>
          </w:p>
          <w:p>
            <w:pPr>
              <w:spacing w:after="40"/>
            </w:pPr>
            <w:r>
              <w:rPr>
                <w:rFonts w:ascii="Courier New" w:hAnsi="Courier New" w:eastAsia="Courier New"/>
                <w:b w:val="0"/>
                <w:i w:val="0"/>
                <w:color w:val="1F2937"/>
                <w:sz w:val="14"/>
              </w:rPr>
              <w:t>com$|^bnpp-3ds-vdm\.wlp-acs\.com$|^sg-3ds-vdm\.wlp-acs\.com$|^acs1-3dsecure\.cic\.fr$|^bpcepaymentservices-3ds-bxl\.wlp-acs\.com$|^hsbc-3ds-vdm\.wlp-acs\.com$|^geschuetztkaufen2\.commerzbank\.de$|^business\.revolut\.com$|^userapi2\.danskebank\.com$|^visasecure2\.comdirect\.de$|^acs2p\.gpesecure\.com$|^bred-3ds-bxl\.wlp-acs\.com$|^3ds2-visasecure\.acdcproc\.com$|^acs2-3dsecure\.targobank\.de$|^visa-secure-bxl\.ing\.de$|^online\.alandsbanken\.fi$|^hsbc-3ds-bxl\.wlp-acs\.com$|^ssl-prd-u9f-fo-acs-pa-bxl\.wlp-acs\.com$|^acs2-3dsecure\.creditmutuel\.fr$|^mpi2\.sveaekonomi\.modirum\.com$|^tunnistus\.handelsbanken\.fi$|^checkoutshopper-live\.adyen\.com$|^config\.lightspeed\.mollie\.com$|^c\.klarna\.com$|^vouchers\.pay\.nl$|^acs-live-eu\.adyen\.com$|^test\.adyen\.com$|^web\.bunq\.com$|^acssv\.otpbank\.hu$|^3dsecure\.ing\.ro$|^3dsecure\.nexi\.it$|^secure\.docdatapayments\.com$|^3dsecure\.mbank\.pl$|^3dsecure\.bankmillennium\.pl$|^spraypay\.nl$|^m</w:t>
            </w:r>
          </w:p>
          <w:p>
            <w:pPr>
              <w:spacing w:after="40"/>
            </w:pPr>
            <w:r>
              <w:rPr>
                <w:rFonts w:ascii="Courier New" w:hAnsi="Courier New" w:eastAsia="Courier New"/>
                <w:b w:val="0"/>
                <w:i w:val="0"/>
                <w:color w:val="1F2937"/>
                <w:sz w:val="14"/>
              </w:rPr>
              <w:t>obilepay\.dk$|^api\.id\.mastercard\.bunq\.com$|^3dsecure2\.vietcombank\.com\.vn$|^lv-worldline-3ds-vdm\.wlp-acs\.com$|^js\.klarna\.com$|^gbemv3dsecure\.garanti\.com\.tr$|^acs1-3dsecure\.targobank\.de$|^girogate\.be$|^3dsecure\.slsp\.sk$|^acs2-3dsecure\.cic\.fr$|^3dsecure\.cgbchina\.com\.cn$|^safekey-3\.americanexpress\.com$|^ssl-prd-u7f-fo-acs-pa-casa-vdm\.wlp-acs\.com$|^bnpp-3ds-bxl\.wlp-acs\.com$|^labanquepostale-3ds-bxl\.wlp-acs\.com$|^payment\.quickpay\.net$|^tunnistus\.omasp\.fi$|^ftn\.aktia\.fi$|^verkkopankki2\.danskebank\.fi$|^acs\.mercurypaymentservices\.it$|^eu\.adyen\.link$|^vismapay\.com$|^in3\.in3business\.eu$|^pay\.mobilepay\.fi$|^acssv\.dskbank\.bg$|^checkout\.notyd\.com$|^checkout\.trustly\.com$|^3dsecure\.bnpparibas\.pl$|^in3\.ideal\.nl$|^testpayv2\.multisafepay\.com$|^embedded\.payson\.se$|^my\.mollie\.com$|^3dsecure\.raiffeisenbank\.rs$|^luxembourg-3ds-vdm\.wlp-acs\.com$|^3dsecure\.starlingbank\.com$|^labanquepostale-3</w:t>
            </w:r>
          </w:p>
          <w:p>
            <w:pPr>
              <w:spacing w:after="40"/>
            </w:pPr>
            <w:r>
              <w:rPr>
                <w:rFonts w:ascii="Courier New" w:hAnsi="Courier New" w:eastAsia="Courier New"/>
                <w:b w:val="0"/>
                <w:i w:val="0"/>
                <w:color w:val="1F2937"/>
                <w:sz w:val="14"/>
              </w:rPr>
              <w:t>ds-vdm\.wlp-acs\.com$|^testcheckout\.buckaroo\.nl$|^geschuetztkaufen1\.commerzbank\.de$|^3dsecure2\.halykbank\.kz$|^3dsecure\.zen\.com$|^payments\.klarna\.com$|^onlinepayments\.ccv\.eu$|^pay\.buckaroo\.nl$|^api\.vipps\.no$|^abn\.nl$|^afterpay\.nl$|^payzen\.eu$|^threedssvc\.pay1\.de$|^pay\.every-pay\.eu$|^tililuotto\.rahoitus\.op\.fi$|^userapi2\.danske\.com$|^checkout\.quickbutik\.com$|^testpay\.multisafepay\.com$|^wirexeu-msc\.mycardplace\.com$|^3ds\.egcp\.com$|^secure\.mobilpay\.ro$|^sandboxsecure\.mobilpay\.ro$|^secure\.euplatesc\.ro$|^secure\.payu\.ro$|^secure\.payu\.com$|^checkout\.revolut\.com$</w:t>
            </w:r>
          </w:p>
        </w:tc>
      </w:tr>
    </w:tbl>
    <w:p>
      <w:pPr>
        <w:spacing w:before="320" w:after="100"/>
      </w:pPr>
      <w:r>
        <w:rPr>
          <w:rFonts w:ascii="Arial" w:hAnsi="Arial" w:eastAsia="Arial"/>
          <w:b/>
          <w:i w:val="0"/>
          <w:color w:val="1A2B4C"/>
          <w:sz w:val="28"/>
        </w:rPr>
        <w:t>Limitare și responsabilitate</w:t>
      </w:r>
    </w:p>
    <w:p>
      <w:pPr>
        <w:spacing w:after="140" w:line="276" w:lineRule="auto"/>
      </w:pPr>
      <w:r>
        <w:rPr>
          <w:rFonts w:ascii="Arial" w:hAnsi="Arial" w:eastAsia="Arial"/>
          <w:b w:val="0"/>
          <w:i w:val="0"/>
          <w:color w:val="1F2937"/>
          <w:sz w:val="21"/>
        </w:rPr>
        <w:t>Efectele se aplică doar datelor colectate după configurare. Lista nu confirmă automat că un domeniu este relevant pentru magazinul tău. Păstrează o evidență a domeniilor adăugate, a datei configurării și a rezultatului testului.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76" w:right="964" w:bottom="992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64748B"/>
        <w:sz w:val="15"/>
      </w:rPr>
      <w:t>Pascal Răzvan | PPC Specialist | pascalrazvan.ro | 0754 386 098 | pascal.razvan.constantin@gmail.com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4989"/>
      <w:gridCol w:w="4989"/>
    </w:tblGrid>
    <w:tr>
      <w:tc>
        <w:tcPr>
          <w:tcW w:type="dxa" w:w="4989"/>
          <w:shd w:fill="1A2B4C"/>
          <w:tcMar>
            <w:top w:w="90" w:type="dxa"/>
            <w:start w:w="130" w:type="dxa"/>
            <w:bottom w:w="90" w:type="dxa"/>
            <w:end w:w="130" w:type="dxa"/>
          </w:tcMar>
          <w:vAlign w:val="center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116000" cy="317145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ascal-razvan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000" cy="3171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989"/>
          <w:shd w:fill="1A2B4C"/>
          <w:tcMar>
            <w:top w:w="90" w:type="dxa"/>
            <w:start w:w="130" w:type="dxa"/>
            <w:bottom w:w="90" w:type="dxa"/>
            <w:end w:w="130" w:type="dxa"/>
          </w:tcMar>
          <w:vAlign w:val="center"/>
        </w:tcPr>
        <w:p>
          <w:pPr>
            <w:jc w:val="right"/>
          </w:pPr>
          <w:r>
            <w:rPr>
              <w:rFonts w:ascii="Arial" w:hAnsi="Arial" w:eastAsia="Arial"/>
              <w:b/>
              <w:i w:val="0"/>
              <w:color w:val="FFFFFF"/>
              <w:sz w:val="22"/>
            </w:rPr>
            <w:t>PASCAL RĂZVAN</w:t>
            <w:br/>
          </w:r>
          <w:r>
            <w:rPr>
              <w:rFonts w:ascii="Arial" w:hAnsi="Arial" w:eastAsia="Arial"/>
              <w:b w:val="0"/>
              <w:i w:val="0"/>
              <w:color w:val="E6EDF8"/>
              <w:sz w:val="16"/>
            </w:rPr>
            <w:t>PPC Specialist | pascalrazvan.ro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